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rPr/>
      </w:pPr>
      <w:r/>
    </w:p>
    <w:p>
      <w:pPr>
        <w:pStyle w:val="BodyText"/>
        <w:spacing w:line="241" w:lineRule="auto"/>
        <w:rPr/>
      </w:pPr>
      <w:r/>
    </w:p>
    <w:p>
      <w:pPr>
        <w:pStyle w:val="BodyText"/>
        <w:spacing w:line="241" w:lineRule="auto"/>
        <w:rPr/>
      </w:pPr>
      <w:r/>
    </w:p>
    <w:p>
      <w:pPr>
        <w:ind w:left="1157"/>
        <w:spacing w:before="91" w:line="239" w:lineRule="auto"/>
        <w:outlineLvl w:val="0"/>
        <w:rPr>
          <w:rFonts w:ascii="SimHei" w:hAnsi="SimHei" w:eastAsia="SimHei" w:cs="SimHei"/>
          <w:sz w:val="28"/>
          <w:szCs w:val="28"/>
        </w:rPr>
      </w:pPr>
      <w:r>
        <w:rPr>
          <w:rFonts w:ascii="SimHei" w:hAnsi="SimHei" w:eastAsia="SimHei" w:cs="SimHei"/>
          <w:sz w:val="28"/>
          <w:szCs w:val="28"/>
          <w:spacing w:val="2"/>
        </w:rPr>
        <w:t>《关于规范本市售后公有住房的</w:t>
      </w:r>
    </w:p>
    <w:p>
      <w:pPr>
        <w:ind w:left="495"/>
        <w:spacing w:before="125"/>
        <w:outlineLvl w:val="0"/>
        <w:rPr>
          <w:rFonts w:ascii="SimHei" w:hAnsi="SimHei" w:eastAsia="SimHei" w:cs="SimHei"/>
          <w:sz w:val="28"/>
          <w:szCs w:val="28"/>
        </w:rPr>
      </w:pPr>
      <w:r>
        <w:rPr>
          <w:rFonts w:ascii="SimHei" w:hAnsi="SimHei" w:eastAsia="SimHei" w:cs="SimHei"/>
          <w:sz w:val="28"/>
          <w:szCs w:val="28"/>
          <w:spacing w:val="-1"/>
        </w:rPr>
        <w:t>住宅专项维修资金和相关小区公共收益资金</w:t>
      </w:r>
    </w:p>
    <w:p>
      <w:pPr>
        <w:ind w:left="1621"/>
        <w:spacing w:before="123"/>
        <w:outlineLvl w:val="0"/>
        <w:rPr>
          <w:rFonts w:ascii="SimHei" w:hAnsi="SimHei" w:eastAsia="SimHei" w:cs="SimHei"/>
          <w:sz w:val="28"/>
          <w:szCs w:val="28"/>
        </w:rPr>
      </w:pPr>
      <w:r>
        <w:rPr>
          <w:rFonts w:ascii="SimHei" w:hAnsi="SimHei" w:eastAsia="SimHei" w:cs="SimHei"/>
          <w:sz w:val="28"/>
          <w:szCs w:val="28"/>
          <w:spacing w:val="-2"/>
        </w:rPr>
        <w:t>管理的若干规定》的通知</w:t>
      </w:r>
    </w:p>
    <w:p>
      <w:pPr>
        <w:pStyle w:val="BodyText"/>
        <w:spacing w:line="283" w:lineRule="auto"/>
        <w:rPr/>
      </w:pPr>
      <w:r/>
    </w:p>
    <w:p>
      <w:pPr>
        <w:pStyle w:val="BodyText"/>
        <w:spacing w:line="284" w:lineRule="auto"/>
        <w:rPr/>
      </w:pPr>
      <w:r/>
    </w:p>
    <w:p>
      <w:pPr>
        <w:pStyle w:val="BodyText"/>
        <w:ind w:left="2152"/>
        <w:spacing w:before="58" w:line="220" w:lineRule="auto"/>
        <w:rPr>
          <w:rFonts w:ascii="FangSong" w:hAnsi="FangSong" w:eastAsia="FangSong" w:cs="FangSong"/>
          <w:sz w:val="18"/>
          <w:szCs w:val="18"/>
        </w:rPr>
      </w:pPr>
      <w:r>
        <w:rPr>
          <w:rFonts w:ascii="FangSong" w:hAnsi="FangSong" w:eastAsia="FangSong" w:cs="FangSong"/>
          <w:sz w:val="18"/>
          <w:szCs w:val="18"/>
          <w:spacing w:val="6"/>
        </w:rPr>
        <w:t>沪建综计</w:t>
      </w:r>
      <w:r>
        <w:rPr>
          <w:rFonts w:ascii="FangSong" w:hAnsi="FangSong" w:eastAsia="FangSong" w:cs="FangSong"/>
          <w:sz w:val="18"/>
          <w:szCs w:val="18"/>
          <w:spacing w:val="6"/>
        </w:rPr>
        <w:t xml:space="preserve"> </w:t>
      </w:r>
      <w:r>
        <w:rPr>
          <w:sz w:val="18"/>
          <w:szCs w:val="18"/>
          <w:spacing w:val="6"/>
        </w:rPr>
        <w:t>[</w:t>
      </w:r>
      <w:hyperlink w:history="true" w:anchor="bookmark1">
        <w:r>
          <w:rPr>
            <w:sz w:val="18"/>
            <w:szCs w:val="18"/>
            <w:spacing w:val="6"/>
          </w:rPr>
          <w:t>2020</w:t>
        </w:r>
      </w:hyperlink>
      <w:r>
        <w:rPr>
          <w:sz w:val="18"/>
          <w:szCs w:val="18"/>
          <w:spacing w:val="6"/>
        </w:rPr>
        <w:t>]</w:t>
      </w:r>
      <w:r>
        <w:rPr>
          <w:sz w:val="18"/>
          <w:szCs w:val="18"/>
          <w:spacing w:val="32"/>
        </w:rPr>
        <w:t xml:space="preserve"> </w:t>
      </w:r>
      <w:r>
        <w:rPr>
          <w:sz w:val="18"/>
          <w:szCs w:val="18"/>
          <w:spacing w:val="6"/>
        </w:rPr>
        <w:t>303</w:t>
      </w:r>
      <w:r>
        <w:rPr>
          <w:sz w:val="18"/>
          <w:szCs w:val="18"/>
          <w:spacing w:val="12"/>
          <w:w w:val="101"/>
        </w:rPr>
        <w:t xml:space="preserve"> </w:t>
      </w:r>
      <w:r>
        <w:rPr>
          <w:rFonts w:ascii="FangSong" w:hAnsi="FangSong" w:eastAsia="FangSong" w:cs="FangSong"/>
          <w:sz w:val="18"/>
          <w:szCs w:val="18"/>
          <w:spacing w:val="6"/>
        </w:rPr>
        <w:t>号</w:t>
      </w:r>
    </w:p>
    <w:p>
      <w:pPr>
        <w:pStyle w:val="BodyText"/>
        <w:spacing w:line="246" w:lineRule="auto"/>
        <w:rPr/>
      </w:pPr>
      <w:r/>
    </w:p>
    <w:p>
      <w:pPr>
        <w:pStyle w:val="BodyText"/>
        <w:spacing w:line="247" w:lineRule="auto"/>
        <w:rPr/>
      </w:pPr>
      <w:r/>
    </w:p>
    <w:p>
      <w:pPr>
        <w:pStyle w:val="BodyText"/>
        <w:spacing w:line="247" w:lineRule="auto"/>
        <w:rPr/>
      </w:pPr>
      <w:r/>
    </w:p>
    <w:p>
      <w:pPr>
        <w:spacing w:before="77" w:line="20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各有关单位:</w:t>
      </w:r>
    </w:p>
    <w:p>
      <w:pPr>
        <w:ind w:firstLine="362"/>
        <w:spacing w:before="263" w:line="41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现将《关于规范本市售后公有住房的住宅专项维修资金和相关小区公共收</w:t>
      </w:r>
      <w:r>
        <w:rPr>
          <w:rFonts w:ascii="Microsoft YaHei" w:hAnsi="Microsoft YaHei" w:eastAsia="Microsoft YaHei" w:cs="Microsoft YaHei"/>
          <w:sz w:val="18"/>
          <w:szCs w:val="18"/>
          <w:spacing w:val="-1"/>
        </w:rPr>
        <w:t>益资金管理的若干规定》印发给你们，请按照执行。</w:t>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ind w:left="2791"/>
        <w:spacing w:before="77"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上海市住房和城乡建设管理委员会</w:t>
      </w:r>
    </w:p>
    <w:p>
      <w:pPr>
        <w:ind w:left="3691"/>
        <w:spacing w:before="264"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二〇二〇年六月十八日</w:t>
      </w:r>
    </w:p>
    <w:p>
      <w:pPr>
        <w:spacing w:line="200" w:lineRule="auto"/>
        <w:sectPr>
          <w:footerReference w:type="default" r:id="rId1"/>
          <w:pgSz w:w="7937" w:h="11905"/>
          <w:pgMar w:top="1011" w:right="1156" w:bottom="908" w:left="682" w:header="0" w:footer="737" w:gutter="0"/>
        </w:sectPr>
        <w:rPr>
          <w:rFonts w:ascii="Microsoft YaHei" w:hAnsi="Microsoft YaHei" w:eastAsia="Microsoft YaHei" w:cs="Microsoft YaHei"/>
          <w:sz w:val="18"/>
          <w:szCs w:val="18"/>
        </w:rPr>
      </w:pPr>
    </w:p>
    <w:p>
      <w:pPr>
        <w:pStyle w:val="BodyText"/>
        <w:spacing w:line="264" w:lineRule="auto"/>
        <w:rPr/>
      </w:pPr>
      <w:r/>
    </w:p>
    <w:p>
      <w:pPr>
        <w:pStyle w:val="BodyText"/>
        <w:spacing w:line="265" w:lineRule="auto"/>
        <w:rPr/>
      </w:pPr>
      <w:r/>
    </w:p>
    <w:p>
      <w:pPr>
        <w:ind w:left="1337"/>
        <w:spacing w:before="91" w:line="239" w:lineRule="auto"/>
        <w:outlineLvl w:val="1"/>
        <w:rPr>
          <w:rFonts w:ascii="SimHei" w:hAnsi="SimHei" w:eastAsia="SimHei" w:cs="SimHei"/>
          <w:sz w:val="28"/>
          <w:szCs w:val="28"/>
        </w:rPr>
      </w:pPr>
      <w:r>
        <w:rPr>
          <w:rFonts w:ascii="SimHei" w:hAnsi="SimHei" w:eastAsia="SimHei" w:cs="SimHei"/>
          <w:sz w:val="28"/>
          <w:szCs w:val="28"/>
          <w:spacing w:val="-1"/>
        </w:rPr>
        <w:t>关于规范本市售后公有住房的</w:t>
      </w:r>
    </w:p>
    <w:p>
      <w:pPr>
        <w:ind w:left="778"/>
        <w:spacing w:before="125"/>
        <w:outlineLvl w:val="1"/>
        <w:rPr>
          <w:rFonts w:ascii="SimHei" w:hAnsi="SimHei" w:eastAsia="SimHei" w:cs="SimHei"/>
          <w:sz w:val="28"/>
          <w:szCs w:val="28"/>
        </w:rPr>
      </w:pPr>
      <w:r>
        <w:rPr>
          <w:rFonts w:ascii="SimHei" w:hAnsi="SimHei" w:eastAsia="SimHei" w:cs="SimHei"/>
          <w:sz w:val="28"/>
          <w:szCs w:val="28"/>
          <w:spacing w:val="-1"/>
        </w:rPr>
        <w:t>住宅专项维修资金和相关小区公共收益</w:t>
      </w:r>
    </w:p>
    <w:p>
      <w:pPr>
        <w:ind w:left="1903"/>
        <w:spacing w:before="123"/>
        <w:outlineLvl w:val="1"/>
        <w:rPr>
          <w:rFonts w:ascii="SimHei" w:hAnsi="SimHei" w:eastAsia="SimHei" w:cs="SimHei"/>
          <w:sz w:val="28"/>
          <w:szCs w:val="28"/>
        </w:rPr>
      </w:pPr>
      <w:r>
        <w:rPr>
          <w:rFonts w:ascii="SimHei" w:hAnsi="SimHei" w:eastAsia="SimHei" w:cs="SimHei"/>
          <w:sz w:val="28"/>
          <w:szCs w:val="28"/>
          <w:spacing w:val="-2"/>
        </w:rPr>
        <w:t>资金管理的若干规定</w:t>
      </w:r>
    </w:p>
    <w:p>
      <w:pPr>
        <w:pStyle w:val="BodyText"/>
        <w:spacing w:line="256" w:lineRule="auto"/>
        <w:rPr/>
      </w:pPr>
      <w:r/>
    </w:p>
    <w:p>
      <w:pPr>
        <w:pStyle w:val="BodyText"/>
        <w:spacing w:line="256" w:lineRule="auto"/>
        <w:rPr/>
      </w:pPr>
      <w:r/>
    </w:p>
    <w:p>
      <w:pPr>
        <w:ind w:right="70" w:firstLine="366"/>
        <w:spacing w:before="77" w:line="305"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为了加强对售后公有住房的住宅专项维修资金和相关</w:t>
      </w:r>
      <w:r>
        <w:rPr>
          <w:rFonts w:ascii="Microsoft YaHei" w:hAnsi="Microsoft YaHei" w:eastAsia="Microsoft YaHei" w:cs="Microsoft YaHei"/>
          <w:sz w:val="18"/>
          <w:szCs w:val="18"/>
          <w:spacing w:val="-1"/>
        </w:rPr>
        <w:t>小区公共收益的管理，</w:t>
      </w:r>
      <w:r>
        <w:rPr>
          <w:rFonts w:ascii="Microsoft YaHei" w:hAnsi="Microsoft YaHei" w:eastAsia="Microsoft YaHei" w:cs="Microsoft YaHei"/>
          <w:sz w:val="18"/>
          <w:szCs w:val="18"/>
        </w:rPr>
        <w:t>保障售后公有住房共用部位、共用设施设备和物业管理区域内的公共设</w:t>
      </w:r>
      <w:r>
        <w:rPr>
          <w:rFonts w:ascii="Microsoft YaHei" w:hAnsi="Microsoft YaHei" w:eastAsia="Microsoft YaHei" w:cs="Microsoft YaHei"/>
          <w:sz w:val="18"/>
          <w:szCs w:val="18"/>
          <w:spacing w:val="-1"/>
        </w:rPr>
        <w:t>施的维修</w:t>
      </w:r>
      <w:r>
        <w:rPr>
          <w:rFonts w:ascii="Microsoft YaHei" w:hAnsi="Microsoft YaHei" w:eastAsia="Microsoft YaHei" w:cs="Microsoft YaHei"/>
          <w:sz w:val="18"/>
          <w:szCs w:val="18"/>
          <w:spacing w:val="-2"/>
        </w:rPr>
        <w:t>和更新</w:t>
      </w:r>
      <w:r>
        <w:rPr>
          <w:rFonts w:ascii="Microsoft YaHei" w:hAnsi="Microsoft YaHei" w:eastAsia="Microsoft YaHei" w:cs="Microsoft YaHei"/>
          <w:sz w:val="18"/>
          <w:szCs w:val="18"/>
          <w:spacing w:val="-19"/>
        </w:rPr>
        <w:t xml:space="preserve"> </w:t>
      </w:r>
      <w:r>
        <w:rPr>
          <w:rFonts w:ascii="Microsoft YaHei" w:hAnsi="Microsoft YaHei" w:eastAsia="Microsoft YaHei" w:cs="Microsoft YaHei"/>
          <w:sz w:val="18"/>
          <w:szCs w:val="18"/>
          <w:spacing w:val="-2"/>
        </w:rPr>
        <w:t>，维护业主的合法权益</w:t>
      </w:r>
      <w:r>
        <w:rPr>
          <w:rFonts w:ascii="Microsoft YaHei" w:hAnsi="Microsoft YaHei" w:eastAsia="Microsoft YaHei" w:cs="Microsoft YaHei"/>
          <w:sz w:val="18"/>
          <w:szCs w:val="18"/>
          <w:spacing w:val="-21"/>
        </w:rPr>
        <w:t xml:space="preserve"> </w:t>
      </w:r>
      <w:r>
        <w:rPr>
          <w:rFonts w:ascii="Microsoft YaHei" w:hAnsi="Microsoft YaHei" w:eastAsia="Microsoft YaHei" w:cs="Microsoft YaHei"/>
          <w:sz w:val="18"/>
          <w:szCs w:val="18"/>
          <w:spacing w:val="-2"/>
        </w:rPr>
        <w:t>，现就规范本市售后公有住房的住宅专项维修资金</w:t>
      </w:r>
      <w:r>
        <w:rPr>
          <w:rFonts w:ascii="Microsoft YaHei" w:hAnsi="Microsoft YaHei" w:eastAsia="Microsoft YaHei" w:cs="Microsoft YaHei"/>
          <w:sz w:val="18"/>
          <w:szCs w:val="18"/>
        </w:rPr>
        <w:t>和相关小区公共收益资金管理中的有关事项规定如</w:t>
      </w:r>
      <w:r>
        <w:rPr>
          <w:rFonts w:ascii="Microsoft YaHei" w:hAnsi="Microsoft YaHei" w:eastAsia="Microsoft YaHei" w:cs="Microsoft YaHei"/>
          <w:sz w:val="18"/>
          <w:szCs w:val="18"/>
          <w:spacing w:val="-1"/>
        </w:rPr>
        <w:t>下:</w:t>
      </w:r>
    </w:p>
    <w:p>
      <w:pPr>
        <w:ind w:left="421"/>
        <w:spacing w:line="268" w:lineRule="exact"/>
        <w:outlineLvl w:val="0"/>
        <w:rPr>
          <w:rFonts w:ascii="SimHei" w:hAnsi="SimHei" w:eastAsia="SimHei" w:cs="SimHei"/>
          <w:sz w:val="20"/>
          <w:szCs w:val="20"/>
        </w:rPr>
      </w:pPr>
      <w:r>
        <w:rPr>
          <w:rFonts w:ascii="SimHei" w:hAnsi="SimHei" w:eastAsia="SimHei" w:cs="SimHei"/>
          <w:sz w:val="20"/>
          <w:szCs w:val="20"/>
          <w:spacing w:val="8"/>
          <w:position w:val="1"/>
        </w:rPr>
        <w:t>一、关于机构及其职责</w:t>
      </w:r>
    </w:p>
    <w:p>
      <w:pPr>
        <w:ind w:left="1" w:right="70" w:firstLine="269"/>
        <w:spacing w:before="183"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spacing w:val="4"/>
        </w:rPr>
        <w:t>上海市公积金管理中心(以下简称市公积金中心)负责本市售后公有住房的住</w:t>
      </w:r>
      <w:r>
        <w:rPr>
          <w:rFonts w:ascii="Microsoft YaHei" w:hAnsi="Microsoft YaHei" w:eastAsia="Microsoft YaHei" w:cs="Microsoft YaHei"/>
          <w:sz w:val="18"/>
          <w:szCs w:val="18"/>
        </w:rPr>
        <w:t>宅专项维修资金(以下简称住宅专项维修资金)和相关小区公共收益(以</w:t>
      </w:r>
      <w:r>
        <w:rPr>
          <w:rFonts w:ascii="Microsoft YaHei" w:hAnsi="Microsoft YaHei" w:eastAsia="Microsoft YaHei" w:cs="Microsoft YaHei"/>
          <w:sz w:val="18"/>
          <w:szCs w:val="18"/>
          <w:spacing w:val="-1"/>
        </w:rPr>
        <w:t>下简称公共</w:t>
      </w:r>
      <w:r>
        <w:rPr>
          <w:rFonts w:ascii="Microsoft YaHei" w:hAnsi="Microsoft YaHei" w:eastAsia="Microsoft YaHei" w:cs="Microsoft YaHei"/>
          <w:sz w:val="18"/>
          <w:szCs w:val="18"/>
          <w:spacing w:val="-2"/>
        </w:rPr>
        <w:t>收益)的资金管理工作</w:t>
      </w:r>
      <w:r>
        <w:rPr>
          <w:rFonts w:ascii="Microsoft YaHei" w:hAnsi="Microsoft YaHei" w:eastAsia="Microsoft YaHei" w:cs="Microsoft YaHei"/>
          <w:sz w:val="18"/>
          <w:szCs w:val="18"/>
          <w:spacing w:val="-21"/>
        </w:rPr>
        <w:t xml:space="preserve"> </w:t>
      </w:r>
      <w:r>
        <w:rPr>
          <w:rFonts w:ascii="Microsoft YaHei" w:hAnsi="Microsoft YaHei" w:eastAsia="Microsoft YaHei" w:cs="Microsoft YaHei"/>
          <w:sz w:val="18"/>
          <w:szCs w:val="18"/>
          <w:spacing w:val="-2"/>
        </w:rPr>
        <w:t>，市公积金中心履行下列职责:</w:t>
      </w:r>
    </w:p>
    <w:p>
      <w:pPr>
        <w:ind w:left="1" w:right="73" w:firstLine="364"/>
        <w:spacing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(一)依据国家法律法规和本市房屋行政管理部门的有关规定</w:t>
      </w:r>
      <w:r>
        <w:rPr>
          <w:rFonts w:ascii="Microsoft YaHei" w:hAnsi="Microsoft YaHei" w:eastAsia="Microsoft YaHei" w:cs="Microsoft YaHei"/>
          <w:sz w:val="18"/>
          <w:szCs w:val="18"/>
          <w:spacing w:val="-5"/>
        </w:rPr>
        <w:t xml:space="preserve"> </w:t>
      </w:r>
      <w:r>
        <w:rPr>
          <w:rFonts w:ascii="Microsoft YaHei" w:hAnsi="Microsoft YaHei" w:eastAsia="Microsoft YaHei" w:cs="Microsoft YaHei"/>
          <w:sz w:val="18"/>
          <w:szCs w:val="18"/>
        </w:rPr>
        <w:t>，建立健全与住</w:t>
      </w:r>
      <w:r>
        <w:rPr>
          <w:rFonts w:ascii="Microsoft YaHei" w:hAnsi="Microsoft YaHei" w:eastAsia="Microsoft YaHei" w:cs="Microsoft YaHei"/>
          <w:sz w:val="18"/>
          <w:szCs w:val="18"/>
        </w:rPr>
        <w:t>宅专项维修资金和公共收益的归集、管理、使用相关的操</w:t>
      </w:r>
      <w:r>
        <w:rPr>
          <w:rFonts w:ascii="Microsoft YaHei" w:hAnsi="Microsoft YaHei" w:eastAsia="Microsoft YaHei" w:cs="Microsoft YaHei"/>
          <w:sz w:val="18"/>
          <w:szCs w:val="18"/>
          <w:spacing w:val="-1"/>
        </w:rPr>
        <w:t>作规范等。</w:t>
      </w:r>
    </w:p>
    <w:p>
      <w:pPr>
        <w:ind w:right="73" w:firstLine="365"/>
        <w:spacing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(二)根据财政部门的有关规定</w:t>
      </w:r>
      <w:r>
        <w:rPr>
          <w:rFonts w:ascii="Microsoft YaHei" w:hAnsi="Microsoft YaHei" w:eastAsia="Microsoft YaHei" w:cs="Microsoft YaHei"/>
          <w:sz w:val="18"/>
          <w:szCs w:val="18"/>
          <w:spacing w:val="-5"/>
        </w:rPr>
        <w:t xml:space="preserve"> </w:t>
      </w:r>
      <w:r>
        <w:rPr>
          <w:rFonts w:ascii="Microsoft YaHei" w:hAnsi="Microsoft YaHei" w:eastAsia="Microsoft YaHei" w:cs="Microsoft YaHei"/>
          <w:sz w:val="18"/>
          <w:szCs w:val="18"/>
        </w:rPr>
        <w:t>，负责制定本单位管理的住宅专项维修资金和</w:t>
      </w:r>
      <w:r>
        <w:rPr>
          <w:rFonts w:ascii="Microsoft YaHei" w:hAnsi="Microsoft YaHei" w:eastAsia="Microsoft YaHei" w:cs="Microsoft YaHei"/>
          <w:sz w:val="18"/>
          <w:szCs w:val="18"/>
          <w:spacing w:val="-1"/>
        </w:rPr>
        <w:t>公共收益的财务管理和会计核算办法。</w:t>
      </w:r>
    </w:p>
    <w:p>
      <w:pPr>
        <w:ind w:left="365"/>
        <w:spacing w:before="1"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(三)负责住宅专项维修资金和公共收益的结算核算。</w:t>
      </w:r>
    </w:p>
    <w:p>
      <w:pPr>
        <w:ind w:right="73" w:firstLine="364"/>
        <w:spacing w:before="141" w:line="3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(四)负责记载业主及业主大会住宅专项维修资金和公共收</w:t>
      </w:r>
      <w:r>
        <w:rPr>
          <w:rFonts w:ascii="Microsoft YaHei" w:hAnsi="Microsoft YaHei" w:eastAsia="Microsoft YaHei" w:cs="Microsoft YaHei"/>
          <w:sz w:val="18"/>
          <w:szCs w:val="18"/>
        </w:rPr>
        <w:t>益的交存</w:t>
      </w:r>
      <w:r>
        <w:rPr>
          <w:rFonts w:ascii="Microsoft YaHei" w:hAnsi="Microsoft YaHei" w:eastAsia="Microsoft YaHei" w:cs="Microsoft YaHei"/>
          <w:sz w:val="18"/>
          <w:szCs w:val="18"/>
          <w:spacing w:val="-31"/>
        </w:rPr>
        <w:t xml:space="preserve"> </w:t>
      </w:r>
      <w:r>
        <w:rPr>
          <w:rFonts w:ascii="Microsoft YaHei" w:hAnsi="Microsoft YaHei" w:eastAsia="Microsoft YaHei" w:cs="Microsoft YaHei"/>
          <w:sz w:val="18"/>
          <w:szCs w:val="18"/>
        </w:rPr>
        <w:t>、使用等</w:t>
      </w:r>
      <w:r>
        <w:rPr>
          <w:rFonts w:ascii="Microsoft YaHei" w:hAnsi="Microsoft YaHei" w:eastAsia="Microsoft YaHei" w:cs="Microsoft YaHei"/>
          <w:sz w:val="18"/>
          <w:szCs w:val="18"/>
          <w:spacing w:val="-1"/>
        </w:rPr>
        <w:t>情况。</w:t>
      </w:r>
    </w:p>
    <w:p>
      <w:pPr>
        <w:ind w:left="365"/>
        <w:spacing w:before="1" w:line="19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(五)负责管理住宅专项维修资金和公共收益的</w:t>
      </w:r>
      <w:r>
        <w:rPr>
          <w:rFonts w:ascii="Microsoft YaHei" w:hAnsi="Microsoft YaHei" w:eastAsia="Microsoft YaHei" w:cs="Microsoft YaHei"/>
          <w:sz w:val="18"/>
          <w:szCs w:val="18"/>
          <w:spacing w:val="-2"/>
        </w:rPr>
        <w:t>日常使用。</w:t>
      </w:r>
    </w:p>
    <w:p>
      <w:pPr>
        <w:ind w:left="420"/>
        <w:spacing w:before="147" w:line="269" w:lineRule="exact"/>
        <w:outlineLvl w:val="0"/>
        <w:rPr>
          <w:rFonts w:ascii="SimHei" w:hAnsi="SimHei" w:eastAsia="SimHei" w:cs="SimHei"/>
          <w:sz w:val="20"/>
          <w:szCs w:val="20"/>
        </w:rPr>
      </w:pPr>
      <w:r>
        <w:rPr>
          <w:rFonts w:ascii="SimHei" w:hAnsi="SimHei" w:eastAsia="SimHei" w:cs="SimHei"/>
          <w:sz w:val="20"/>
          <w:szCs w:val="20"/>
          <w:spacing w:val="8"/>
          <w:position w:val="1"/>
        </w:rPr>
        <w:t>二、关于管理事项范围</w:t>
      </w:r>
    </w:p>
    <w:p>
      <w:pPr>
        <w:spacing w:before="182" w:line="200" w:lineRule="auto"/>
        <w:jc w:val="right"/>
        <w:rPr>
          <w:rFonts w:ascii="Microsoft YaHei" w:hAnsi="Microsoft YaHei" w:eastAsia="Microsoft YaHei" w:cs="Microsoft YaHei"/>
          <w:sz w:val="18"/>
          <w:szCs w:val="18"/>
        </w:rPr>
      </w:pPr>
      <w:r>
        <w:rPr>
          <w:rFonts w:ascii="Microsoft YaHei" w:hAnsi="Microsoft YaHei" w:eastAsia="Microsoft YaHei" w:cs="Microsoft YaHei"/>
          <w:sz w:val="18"/>
          <w:szCs w:val="18"/>
          <w:spacing w:val="-6"/>
          <w:w w:val="96"/>
        </w:rPr>
        <w:t>本规定适用于本市行政区域内住宅专项维修资金、公共收益的交存、使用和管理。</w:t>
      </w:r>
    </w:p>
    <w:p>
      <w:pPr>
        <w:spacing w:line="200" w:lineRule="auto"/>
        <w:sectPr>
          <w:footerReference w:type="default" r:id="rId2"/>
          <w:pgSz w:w="7937" w:h="11905"/>
          <w:pgMar w:top="1011" w:right="608" w:bottom="910" w:left="959" w:header="0" w:footer="737" w:gutter="0"/>
        </w:sectPr>
        <w:rPr>
          <w:rFonts w:ascii="Microsoft YaHei" w:hAnsi="Microsoft YaHei" w:eastAsia="Microsoft YaHei" w:cs="Microsoft YaHei"/>
          <w:sz w:val="18"/>
          <w:szCs w:val="18"/>
        </w:rPr>
      </w:pPr>
    </w:p>
    <w:p>
      <w:pPr>
        <w:ind w:left="1" w:firstLine="358"/>
        <w:spacing w:before="151"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本规定所称住宅专项维修资金和公共收益是指根据售后公有住房管</w:t>
      </w:r>
      <w:r>
        <w:rPr>
          <w:rFonts w:ascii="Microsoft YaHei" w:hAnsi="Microsoft YaHei" w:eastAsia="Microsoft YaHei" w:cs="Microsoft YaHei"/>
          <w:sz w:val="18"/>
          <w:szCs w:val="18"/>
          <w:spacing w:val="-1"/>
        </w:rPr>
        <w:t>理、住宅</w:t>
      </w:r>
      <w:r>
        <w:rPr>
          <w:rFonts w:ascii="Microsoft YaHei" w:hAnsi="Microsoft YaHei" w:eastAsia="Microsoft YaHei" w:cs="Microsoft YaHei"/>
          <w:sz w:val="18"/>
          <w:szCs w:val="18"/>
        </w:rPr>
        <w:t>物业管理等相关规定交存至售后公有住房专项维修资金专户中的专</w:t>
      </w:r>
      <w:r>
        <w:rPr>
          <w:rFonts w:ascii="Microsoft YaHei" w:hAnsi="Microsoft YaHei" w:eastAsia="Microsoft YaHei" w:cs="Microsoft YaHei"/>
          <w:sz w:val="18"/>
          <w:szCs w:val="18"/>
          <w:spacing w:val="-1"/>
        </w:rPr>
        <w:t>项维修资金和</w:t>
      </w:r>
      <w:r>
        <w:rPr>
          <w:rFonts w:ascii="Microsoft YaHei" w:hAnsi="Microsoft YaHei" w:eastAsia="Microsoft YaHei" w:cs="Microsoft YaHei"/>
          <w:sz w:val="18"/>
          <w:szCs w:val="18"/>
          <w:spacing w:val="-1"/>
        </w:rPr>
        <w:t>相关小区的公共收益。</w:t>
      </w:r>
    </w:p>
    <w:p>
      <w:pPr>
        <w:ind w:left="1" w:firstLine="358"/>
        <w:spacing w:before="1" w:line="3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住宅专项维修资金和公共收益实行统一归集、集中管理、专户存储</w:t>
      </w:r>
      <w:r>
        <w:rPr>
          <w:rFonts w:ascii="Microsoft YaHei" w:hAnsi="Microsoft YaHei" w:eastAsia="Microsoft YaHei" w:cs="Microsoft YaHei"/>
          <w:sz w:val="18"/>
          <w:szCs w:val="18"/>
          <w:spacing w:val="-1"/>
        </w:rPr>
        <w:t>、专款专</w:t>
      </w:r>
      <w:r>
        <w:rPr>
          <w:rFonts w:ascii="Microsoft YaHei" w:hAnsi="Microsoft YaHei" w:eastAsia="Microsoft YaHei" w:cs="Microsoft YaHei"/>
          <w:sz w:val="18"/>
          <w:szCs w:val="18"/>
          <w:spacing w:val="-1"/>
        </w:rPr>
        <w:t>用，所有权人决策，政府监督的管理原则。</w:t>
      </w:r>
    </w:p>
    <w:p>
      <w:pPr>
        <w:ind w:left="423"/>
        <w:spacing w:line="269" w:lineRule="exact"/>
        <w:outlineLvl w:val="0"/>
        <w:rPr>
          <w:rFonts w:ascii="SimHei" w:hAnsi="SimHei" w:eastAsia="SimHei" w:cs="SimHei"/>
          <w:sz w:val="20"/>
          <w:szCs w:val="20"/>
        </w:rPr>
      </w:pPr>
      <w:r>
        <w:rPr>
          <w:rFonts w:ascii="SimHei" w:hAnsi="SimHei" w:eastAsia="SimHei" w:cs="SimHei"/>
          <w:sz w:val="20"/>
          <w:szCs w:val="20"/>
          <w:spacing w:val="8"/>
          <w:position w:val="1"/>
        </w:rPr>
        <w:t>三、关于维修资金专户的设置</w:t>
      </w:r>
    </w:p>
    <w:p>
      <w:pPr>
        <w:ind w:left="1" w:firstLine="361"/>
        <w:spacing w:before="180" w:line="305"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市公积金中心应当按照中国人民银行的有关规定，委托本市商业银行(以下简</w:t>
      </w:r>
      <w:r>
        <w:rPr>
          <w:rFonts w:ascii="Microsoft YaHei" w:hAnsi="Microsoft YaHei" w:eastAsia="Microsoft YaHei" w:cs="Microsoft YaHei"/>
          <w:sz w:val="18"/>
          <w:szCs w:val="18"/>
          <w:spacing w:val="2"/>
        </w:rPr>
        <w:t>称受托银行)办理住宅专项维修资金和公共收益金融业务;市公积金中心应当在受</w:t>
      </w:r>
      <w:r>
        <w:rPr>
          <w:rFonts w:ascii="Microsoft YaHei" w:hAnsi="Microsoft YaHei" w:eastAsia="Microsoft YaHei" w:cs="Microsoft YaHei"/>
          <w:sz w:val="18"/>
          <w:szCs w:val="18"/>
        </w:rPr>
        <w:t>托银行开立住宅专项维修资金专户，并在专户内设立住宅专项维修资</w:t>
      </w:r>
      <w:r>
        <w:rPr>
          <w:rFonts w:ascii="Microsoft YaHei" w:hAnsi="Microsoft YaHei" w:eastAsia="Microsoft YaHei" w:cs="Microsoft YaHei"/>
          <w:sz w:val="18"/>
          <w:szCs w:val="18"/>
          <w:spacing w:val="-1"/>
        </w:rPr>
        <w:t>金、公共收</w:t>
      </w:r>
      <w:r>
        <w:rPr>
          <w:rFonts w:ascii="Microsoft YaHei" w:hAnsi="Microsoft YaHei" w:eastAsia="Microsoft YaHei" w:cs="Microsoft YaHei"/>
          <w:sz w:val="18"/>
          <w:szCs w:val="18"/>
        </w:rPr>
        <w:t>益和工作经费三个子账户，分别管理住宅专项维修资金、公共收益和</w:t>
      </w:r>
      <w:r>
        <w:rPr>
          <w:rFonts w:ascii="Microsoft YaHei" w:hAnsi="Microsoft YaHei" w:eastAsia="Microsoft YaHei" w:cs="Microsoft YaHei"/>
          <w:sz w:val="18"/>
          <w:szCs w:val="18"/>
          <w:spacing w:val="-1"/>
        </w:rPr>
        <w:t>业主委员会</w:t>
      </w:r>
      <w:r>
        <w:rPr>
          <w:rFonts w:ascii="Microsoft YaHei" w:hAnsi="Microsoft YaHei" w:eastAsia="Microsoft YaHei" w:cs="Microsoft YaHei"/>
          <w:sz w:val="18"/>
          <w:szCs w:val="18"/>
          <w:spacing w:val="-1"/>
        </w:rPr>
        <w:t>工作经费。</w:t>
      </w:r>
    </w:p>
    <w:p>
      <w:pPr>
        <w:ind w:left="432"/>
        <w:spacing w:line="269" w:lineRule="exact"/>
        <w:outlineLvl w:val="0"/>
        <w:rPr>
          <w:rFonts w:ascii="SimHei" w:hAnsi="SimHei" w:eastAsia="SimHei" w:cs="SimHei"/>
          <w:sz w:val="20"/>
          <w:szCs w:val="20"/>
        </w:rPr>
      </w:pPr>
      <w:r>
        <w:rPr>
          <w:rFonts w:ascii="SimHei" w:hAnsi="SimHei" w:eastAsia="SimHei" w:cs="SimHei"/>
          <w:sz w:val="20"/>
          <w:szCs w:val="20"/>
          <w:spacing w:val="8"/>
          <w:position w:val="1"/>
        </w:rPr>
        <w:t>四、关于维修资金专户管理的要求</w:t>
      </w:r>
    </w:p>
    <w:p>
      <w:pPr>
        <w:ind w:left="362"/>
        <w:spacing w:before="181" w:line="20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市公积金中心应当对业主大会成立前的住宅专</w:t>
      </w:r>
      <w:r>
        <w:rPr>
          <w:rFonts w:ascii="Microsoft YaHei" w:hAnsi="Microsoft YaHei" w:eastAsia="Microsoft YaHei" w:cs="Microsoft YaHei"/>
          <w:sz w:val="18"/>
          <w:szCs w:val="18"/>
          <w:spacing w:val="-1"/>
        </w:rPr>
        <w:t>项维修资金按户</w:t>
      </w:r>
      <w:r>
        <w:rPr>
          <w:rFonts w:ascii="Microsoft YaHei" w:hAnsi="Microsoft YaHei" w:eastAsia="Microsoft YaHei" w:cs="Microsoft YaHei"/>
          <w:sz w:val="18"/>
          <w:szCs w:val="18"/>
          <w:spacing w:val="42"/>
        </w:rPr>
        <w:t xml:space="preserve"> </w:t>
      </w:r>
      <w:r>
        <w:rPr>
          <w:rFonts w:ascii="Microsoft YaHei" w:hAnsi="Microsoft YaHei" w:eastAsia="Microsoft YaHei" w:cs="Microsoft YaHei"/>
          <w:sz w:val="18"/>
          <w:szCs w:val="18"/>
          <w:spacing w:val="-1"/>
        </w:rPr>
        <w:t>立账。</w:t>
      </w:r>
    </w:p>
    <w:p>
      <w:pPr>
        <w:ind w:firstLine="362"/>
        <w:spacing w:before="134"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市公积金中心应当对业主大会成立后的住宅专项维修资金按幢</w:t>
      </w:r>
      <w:r>
        <w:rPr>
          <w:rFonts w:ascii="Microsoft YaHei" w:hAnsi="Microsoft YaHei" w:eastAsia="Microsoft YaHei" w:cs="Microsoft YaHei"/>
          <w:sz w:val="18"/>
          <w:szCs w:val="18"/>
          <w:spacing w:val="-1"/>
        </w:rPr>
        <w:t>立账、按户核</w:t>
      </w:r>
      <w:r>
        <w:rPr>
          <w:rFonts w:ascii="Microsoft YaHei" w:hAnsi="Microsoft YaHei" w:eastAsia="Microsoft YaHei" w:cs="Microsoft YaHei"/>
          <w:sz w:val="18"/>
          <w:szCs w:val="18"/>
          <w:spacing w:val="4"/>
        </w:rPr>
        <w:t>算;公共收益根据不同来源分别记入业主大会的公共收益账户或</w:t>
      </w:r>
      <w:r>
        <w:rPr>
          <w:rFonts w:ascii="Microsoft YaHei" w:hAnsi="Microsoft YaHei" w:eastAsia="Microsoft YaHei" w:cs="Microsoft YaHei"/>
          <w:sz w:val="18"/>
          <w:szCs w:val="18"/>
          <w:spacing w:val="3"/>
        </w:rPr>
        <w:t>门牌幢的公共收</w:t>
      </w:r>
      <w:r>
        <w:rPr>
          <w:rFonts w:ascii="Microsoft YaHei" w:hAnsi="Microsoft YaHei" w:eastAsia="Microsoft YaHei" w:cs="Microsoft YaHei"/>
          <w:sz w:val="18"/>
          <w:szCs w:val="18"/>
          <w:spacing w:val="-1"/>
        </w:rPr>
        <w:t>益账户。</w:t>
      </w:r>
    </w:p>
    <w:p>
      <w:pPr>
        <w:ind w:left="1" w:firstLine="360"/>
        <w:spacing w:before="2" w:line="305"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市</w:t>
      </w:r>
      <w:r>
        <w:rPr>
          <w:rFonts w:ascii="Microsoft YaHei" w:hAnsi="Microsoft YaHei" w:eastAsia="Microsoft YaHei" w:cs="Microsoft YaHei"/>
          <w:sz w:val="18"/>
          <w:szCs w:val="18"/>
          <w:spacing w:val="-1"/>
        </w:rPr>
        <w:t>公积金中心根据住宅专项维修资金和公共收益增值情况</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，确定</w:t>
      </w:r>
      <w:r>
        <w:rPr>
          <w:rFonts w:ascii="Microsoft YaHei" w:hAnsi="Microsoft YaHei" w:eastAsia="Microsoft YaHei" w:cs="Microsoft YaHei"/>
          <w:sz w:val="18"/>
          <w:szCs w:val="18"/>
          <w:spacing w:val="-2"/>
        </w:rPr>
        <w:t>当年度计</w:t>
      </w:r>
      <w:r>
        <w:rPr>
          <w:rFonts w:ascii="Microsoft YaHei" w:hAnsi="Microsoft YaHei" w:eastAsia="Microsoft YaHei" w:cs="Microsoft YaHei"/>
          <w:sz w:val="18"/>
          <w:szCs w:val="18"/>
          <w:spacing w:val="-1"/>
        </w:rPr>
        <w:t>息</w:t>
      </w:r>
      <w:r>
        <w:rPr>
          <w:rFonts w:ascii="Microsoft YaHei" w:hAnsi="Microsoft YaHei" w:eastAsia="Microsoft YaHei" w:cs="Microsoft YaHei"/>
          <w:sz w:val="18"/>
          <w:szCs w:val="18"/>
        </w:rPr>
        <w:t>利率，并将利息分别结转至住宅专项维修资金、公共收益和工作经</w:t>
      </w:r>
      <w:r>
        <w:rPr>
          <w:rFonts w:ascii="Microsoft YaHei" w:hAnsi="Microsoft YaHei" w:eastAsia="Microsoft YaHei" w:cs="Microsoft YaHei"/>
          <w:sz w:val="18"/>
          <w:szCs w:val="18"/>
          <w:spacing w:val="-1"/>
        </w:rPr>
        <w:t>费子账户中。</w:t>
      </w:r>
    </w:p>
    <w:p>
      <w:pPr>
        <w:ind w:left="418"/>
        <w:spacing w:line="269" w:lineRule="exact"/>
        <w:outlineLvl w:val="0"/>
        <w:rPr>
          <w:rFonts w:ascii="SimHei" w:hAnsi="SimHei" w:eastAsia="SimHei" w:cs="SimHei"/>
          <w:sz w:val="20"/>
          <w:szCs w:val="20"/>
        </w:rPr>
      </w:pPr>
      <w:r>
        <w:rPr>
          <w:rFonts w:ascii="SimHei" w:hAnsi="SimHei" w:eastAsia="SimHei" w:cs="SimHei"/>
          <w:sz w:val="20"/>
          <w:szCs w:val="20"/>
          <w:spacing w:val="9"/>
          <w:position w:val="1"/>
        </w:rPr>
        <w:t>五、关于业主大会银行账户管理</w:t>
      </w:r>
    </w:p>
    <w:p>
      <w:pPr>
        <w:ind w:left="365"/>
        <w:spacing w:before="183"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4"/>
          <w:w w:val="98"/>
        </w:rPr>
        <w:t>(一)</w:t>
      </w:r>
      <w:r>
        <w:rPr>
          <w:rFonts w:ascii="Microsoft YaHei" w:hAnsi="Microsoft YaHei" w:eastAsia="Microsoft YaHei" w:cs="Microsoft YaHei"/>
          <w:sz w:val="18"/>
          <w:szCs w:val="18"/>
          <w:b/>
          <w:bCs/>
          <w:spacing w:val="41"/>
        </w:rPr>
        <w:t xml:space="preserve"> </w:t>
      </w:r>
      <w:r>
        <w:rPr>
          <w:rFonts w:ascii="Microsoft YaHei" w:hAnsi="Microsoft YaHei" w:eastAsia="Microsoft YaHei" w:cs="Microsoft YaHei"/>
          <w:sz w:val="18"/>
          <w:szCs w:val="18"/>
          <w:b/>
          <w:bCs/>
          <w:spacing w:val="-4"/>
          <w:w w:val="98"/>
        </w:rPr>
        <w:t>委托管理</w:t>
      </w:r>
    </w:p>
    <w:p>
      <w:pPr>
        <w:ind w:left="1" w:firstLine="358"/>
        <w:spacing w:before="138" w:line="309"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业主大会成立后，受托银行应当按照中国人民银行的有关规定为业</w:t>
      </w:r>
      <w:r>
        <w:rPr>
          <w:rFonts w:ascii="Microsoft YaHei" w:hAnsi="Microsoft YaHei" w:eastAsia="Microsoft YaHei" w:cs="Microsoft YaHei"/>
          <w:sz w:val="18"/>
          <w:szCs w:val="18"/>
          <w:spacing w:val="-1"/>
        </w:rPr>
        <w:t>主大会开</w:t>
      </w:r>
      <w:r>
        <w:rPr>
          <w:rFonts w:ascii="Microsoft YaHei" w:hAnsi="Microsoft YaHei" w:eastAsia="Microsoft YaHei" w:cs="Microsoft YaHei"/>
          <w:sz w:val="18"/>
          <w:szCs w:val="18"/>
        </w:rPr>
        <w:t>立银行账户，此账户作为业主大会办理住宅专项维修资金、公共收益</w:t>
      </w:r>
      <w:r>
        <w:rPr>
          <w:rFonts w:ascii="Microsoft YaHei" w:hAnsi="Microsoft YaHei" w:eastAsia="Microsoft YaHei" w:cs="Microsoft YaHei"/>
          <w:sz w:val="18"/>
          <w:szCs w:val="18"/>
          <w:spacing w:val="-1"/>
        </w:rPr>
        <w:t>和工作经费</w:t>
      </w:r>
      <w:r>
        <w:rPr>
          <w:rFonts w:ascii="Microsoft YaHei" w:hAnsi="Microsoft YaHei" w:eastAsia="Microsoft YaHei" w:cs="Microsoft YaHei"/>
          <w:sz w:val="18"/>
          <w:szCs w:val="18"/>
        </w:rPr>
        <w:t>的收支和划转专用账户根据业主大会委托，账户资金由市公积金中心</w:t>
      </w:r>
      <w:r>
        <w:rPr>
          <w:rFonts w:ascii="Microsoft YaHei" w:hAnsi="Microsoft YaHei" w:eastAsia="Microsoft YaHei" w:cs="Microsoft YaHei"/>
          <w:sz w:val="18"/>
          <w:szCs w:val="18"/>
          <w:spacing w:val="-1"/>
        </w:rPr>
        <w:t>实行统一集</w:t>
      </w:r>
      <w:r>
        <w:rPr>
          <w:rFonts w:ascii="Microsoft YaHei" w:hAnsi="Microsoft YaHei" w:eastAsia="Microsoft YaHei" w:cs="Microsoft YaHei"/>
          <w:sz w:val="18"/>
          <w:szCs w:val="18"/>
          <w:spacing w:val="-1"/>
        </w:rPr>
        <w:t>中管理。</w:t>
      </w:r>
    </w:p>
    <w:p>
      <w:pPr>
        <w:spacing w:line="309" w:lineRule="auto"/>
        <w:sectPr>
          <w:footerReference w:type="default" r:id="rId3"/>
          <w:pgSz w:w="7937" w:h="11905"/>
          <w:pgMar w:top="1011" w:right="957" w:bottom="910" w:left="681" w:header="0" w:footer="736" w:gutter="0"/>
        </w:sectPr>
        <w:rPr>
          <w:rFonts w:ascii="Microsoft YaHei" w:hAnsi="Microsoft YaHei" w:eastAsia="Microsoft YaHei" w:cs="Microsoft YaHei"/>
          <w:sz w:val="18"/>
          <w:szCs w:val="18"/>
        </w:rPr>
      </w:pPr>
    </w:p>
    <w:p>
      <w:pPr>
        <w:ind w:left="364"/>
        <w:spacing w:before="151"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6"/>
        </w:rPr>
        <w:t>(二)</w:t>
      </w:r>
      <w:r>
        <w:rPr>
          <w:rFonts w:ascii="Microsoft YaHei" w:hAnsi="Microsoft YaHei" w:eastAsia="Microsoft YaHei" w:cs="Microsoft YaHei"/>
          <w:sz w:val="18"/>
          <w:szCs w:val="18"/>
          <w:b/>
          <w:bCs/>
          <w:spacing w:val="45"/>
          <w:w w:val="101"/>
        </w:rPr>
        <w:t xml:space="preserve"> </w:t>
      </w:r>
      <w:r>
        <w:rPr>
          <w:rFonts w:ascii="Microsoft YaHei" w:hAnsi="Microsoft YaHei" w:eastAsia="Microsoft YaHei" w:cs="Microsoft YaHei"/>
          <w:sz w:val="18"/>
          <w:szCs w:val="18"/>
          <w:b/>
          <w:bCs/>
          <w:spacing w:val="-6"/>
        </w:rPr>
        <w:t>公共收益管理</w:t>
      </w:r>
    </w:p>
    <w:p>
      <w:pPr>
        <w:ind w:left="17" w:right="36" w:firstLine="341"/>
        <w:spacing w:before="139"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1"/>
        </w:rPr>
        <w:t>公共收益交款时，受托银行应当根据业主大会通过的相关管</w:t>
      </w:r>
      <w:r>
        <w:rPr>
          <w:rFonts w:ascii="Microsoft YaHei" w:hAnsi="Microsoft YaHei" w:eastAsia="Microsoft YaHei" w:cs="Microsoft YaHei"/>
          <w:sz w:val="18"/>
          <w:szCs w:val="18"/>
          <w:spacing w:val="-2"/>
        </w:rPr>
        <w:t>理规约的约定，</w:t>
      </w:r>
      <w:r>
        <w:rPr>
          <w:rFonts w:ascii="Microsoft YaHei" w:hAnsi="Microsoft YaHei" w:eastAsia="Microsoft YaHei" w:cs="Microsoft YaHei"/>
          <w:sz w:val="18"/>
          <w:szCs w:val="18"/>
          <w:spacing w:val="-1"/>
        </w:rPr>
        <w:t>同步办理公共收益补充住宅专项维修资金和业主委员会工作经费业务。</w:t>
      </w:r>
    </w:p>
    <w:p>
      <w:pPr>
        <w:ind w:left="364"/>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3"/>
        </w:rPr>
        <w:t>(三)</w:t>
      </w:r>
      <w:r>
        <w:rPr>
          <w:rFonts w:ascii="Microsoft YaHei" w:hAnsi="Microsoft YaHei" w:eastAsia="Microsoft YaHei" w:cs="Microsoft YaHei"/>
          <w:sz w:val="18"/>
          <w:szCs w:val="18"/>
          <w:b/>
          <w:bCs/>
          <w:spacing w:val="41"/>
          <w:w w:val="101"/>
        </w:rPr>
        <w:t xml:space="preserve"> </w:t>
      </w:r>
      <w:r>
        <w:rPr>
          <w:rFonts w:ascii="Microsoft YaHei" w:hAnsi="Microsoft YaHei" w:eastAsia="Microsoft YaHei" w:cs="Microsoft YaHei"/>
          <w:sz w:val="18"/>
          <w:szCs w:val="18"/>
          <w:b/>
          <w:bCs/>
          <w:spacing w:val="-3"/>
        </w:rPr>
        <w:t>住宅专项维修资金分户注销</w:t>
      </w:r>
    </w:p>
    <w:p>
      <w:pPr>
        <w:ind w:firstLine="361"/>
        <w:spacing w:before="139"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房屋灭失的，业主交纳的住宅专项维修资金账面余额退还业主;公有住房出售</w:t>
      </w:r>
      <w:r>
        <w:rPr>
          <w:rFonts w:ascii="Microsoft YaHei" w:hAnsi="Microsoft YaHei" w:eastAsia="Microsoft YaHei" w:cs="Microsoft YaHei"/>
          <w:sz w:val="18"/>
          <w:szCs w:val="18"/>
        </w:rPr>
        <w:t>单位交纳的住宅专项维修资金账面余额返还公有住房出售单位，并且对</w:t>
      </w:r>
      <w:r>
        <w:rPr>
          <w:rFonts w:ascii="Microsoft YaHei" w:hAnsi="Microsoft YaHei" w:eastAsia="Microsoft YaHei" w:cs="Microsoft YaHei"/>
          <w:sz w:val="18"/>
          <w:szCs w:val="18"/>
          <w:spacing w:val="-1"/>
        </w:rPr>
        <w:t>住宅专项</w:t>
      </w:r>
      <w:r>
        <w:rPr>
          <w:rFonts w:ascii="Microsoft YaHei" w:hAnsi="Microsoft YaHei" w:eastAsia="Microsoft YaHei" w:cs="Microsoft YaHei"/>
          <w:sz w:val="18"/>
          <w:szCs w:val="18"/>
          <w:spacing w:val="-1"/>
        </w:rPr>
        <w:t>维修资金分户进行注销。</w:t>
      </w:r>
    </w:p>
    <w:p>
      <w:pPr>
        <w:ind w:firstLine="361"/>
        <w:spacing w:before="1" w:line="30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经人民法院判决、调解等原因将售后公房恢复租赁关系的，</w:t>
      </w:r>
      <w:r>
        <w:rPr>
          <w:rFonts w:ascii="Microsoft YaHei" w:hAnsi="Microsoft YaHei" w:eastAsia="Microsoft YaHei" w:cs="Microsoft YaHei"/>
          <w:sz w:val="18"/>
          <w:szCs w:val="18"/>
          <w:spacing w:val="-1"/>
        </w:rPr>
        <w:t>受托银行将住宅</w:t>
      </w:r>
      <w:r>
        <w:rPr>
          <w:rFonts w:ascii="Microsoft YaHei" w:hAnsi="Microsoft YaHei" w:eastAsia="Microsoft YaHei" w:cs="Microsoft YaHei"/>
          <w:sz w:val="18"/>
          <w:szCs w:val="18"/>
        </w:rPr>
        <w:t>专项维修资金账面余额退还申请单位，并且对住宅专项维修资金分户</w:t>
      </w:r>
      <w:r>
        <w:rPr>
          <w:rFonts w:ascii="Microsoft YaHei" w:hAnsi="Microsoft YaHei" w:eastAsia="Microsoft YaHei" w:cs="Microsoft YaHei"/>
          <w:sz w:val="18"/>
          <w:szCs w:val="18"/>
          <w:spacing w:val="-1"/>
        </w:rPr>
        <w:t>进行注销。</w:t>
      </w:r>
    </w:p>
    <w:p>
      <w:pPr>
        <w:ind w:left="419"/>
        <w:spacing w:line="270" w:lineRule="exact"/>
        <w:outlineLvl w:val="0"/>
        <w:rPr>
          <w:rFonts w:ascii="SimHei" w:hAnsi="SimHei" w:eastAsia="SimHei" w:cs="SimHei"/>
          <w:sz w:val="20"/>
          <w:szCs w:val="20"/>
        </w:rPr>
      </w:pPr>
      <w:r>
        <w:rPr>
          <w:rFonts w:ascii="SimHei" w:hAnsi="SimHei" w:eastAsia="SimHei" w:cs="SimHei"/>
          <w:sz w:val="20"/>
          <w:szCs w:val="20"/>
          <w:spacing w:val="8"/>
          <w:position w:val="1"/>
        </w:rPr>
        <w:t>六、关于增值收益的管理要求</w:t>
      </w:r>
    </w:p>
    <w:p>
      <w:pPr>
        <w:ind w:left="364"/>
        <w:spacing w:before="180" w:line="196"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4"/>
        </w:rPr>
        <w:t>(一)</w:t>
      </w:r>
      <w:r>
        <w:rPr>
          <w:rFonts w:ascii="Microsoft YaHei" w:hAnsi="Microsoft YaHei" w:eastAsia="Microsoft YaHei" w:cs="Microsoft YaHei"/>
          <w:sz w:val="18"/>
          <w:szCs w:val="18"/>
          <w:b/>
          <w:bCs/>
          <w:spacing w:val="42"/>
        </w:rPr>
        <w:t xml:space="preserve"> </w:t>
      </w:r>
      <w:r>
        <w:rPr>
          <w:rFonts w:ascii="Microsoft YaHei" w:hAnsi="Microsoft YaHei" w:eastAsia="Microsoft YaHei" w:cs="Microsoft YaHei"/>
          <w:sz w:val="18"/>
          <w:szCs w:val="18"/>
          <w:b/>
          <w:bCs/>
          <w:spacing w:val="-4"/>
        </w:rPr>
        <w:t>业务收入和业务支出</w:t>
      </w:r>
    </w:p>
    <w:p>
      <w:pPr>
        <w:ind w:firstLine="358"/>
        <w:spacing w:before="139" w:line="3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业务收入是指市公积金中心管理住宅专项维修资金和公共收益时所</w:t>
      </w:r>
      <w:r>
        <w:rPr>
          <w:rFonts w:ascii="Microsoft YaHei" w:hAnsi="Microsoft YaHei" w:eastAsia="Microsoft YaHei" w:cs="Microsoft YaHei"/>
          <w:sz w:val="18"/>
          <w:szCs w:val="18"/>
          <w:spacing w:val="-1"/>
        </w:rPr>
        <w:t>产生的收</w:t>
      </w:r>
      <w:r>
        <w:rPr>
          <w:rFonts w:ascii="Microsoft YaHei" w:hAnsi="Microsoft YaHei" w:eastAsia="Microsoft YaHei" w:cs="Microsoft YaHei"/>
          <w:sz w:val="18"/>
          <w:szCs w:val="18"/>
          <w:spacing w:val="-3"/>
        </w:rPr>
        <w:t>入</w:t>
      </w:r>
      <w:r>
        <w:rPr>
          <w:rFonts w:ascii="Microsoft YaHei" w:hAnsi="Microsoft YaHei" w:eastAsia="Microsoft YaHei" w:cs="Microsoft YaHei"/>
          <w:sz w:val="18"/>
          <w:szCs w:val="18"/>
          <w:spacing w:val="-7"/>
        </w:rPr>
        <w:t xml:space="preserve"> </w:t>
      </w:r>
      <w:r>
        <w:rPr>
          <w:rFonts w:ascii="Microsoft YaHei" w:hAnsi="Microsoft YaHei" w:eastAsia="Microsoft YaHei" w:cs="Microsoft YaHei"/>
          <w:sz w:val="18"/>
          <w:szCs w:val="18"/>
          <w:spacing w:val="-3"/>
        </w:rPr>
        <w:t>，主要包括利息收入和其他收入等。</w:t>
      </w:r>
    </w:p>
    <w:p>
      <w:pPr>
        <w:ind w:left="1" w:firstLine="357"/>
        <w:spacing w:before="3" w:line="30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业务支出是指市公积金中心管理住宅专项维修资金和公共收益过程</w:t>
      </w:r>
      <w:r>
        <w:rPr>
          <w:rFonts w:ascii="Microsoft YaHei" w:hAnsi="Microsoft YaHei" w:eastAsia="Microsoft YaHei" w:cs="Microsoft YaHei"/>
          <w:sz w:val="18"/>
          <w:szCs w:val="18"/>
          <w:spacing w:val="-1"/>
        </w:rPr>
        <w:t>中发生的</w:t>
      </w:r>
      <w:r>
        <w:rPr>
          <w:rFonts w:ascii="Microsoft YaHei" w:hAnsi="Microsoft YaHei" w:eastAsia="Microsoft YaHei" w:cs="Microsoft YaHei"/>
          <w:sz w:val="18"/>
          <w:szCs w:val="18"/>
          <w:spacing w:val="-1"/>
        </w:rPr>
        <w:t>支出</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，主要包括受托银行手续费、定期存款招标代理费用、</w:t>
      </w:r>
      <w:r>
        <w:rPr>
          <w:rFonts w:ascii="Microsoft YaHei" w:hAnsi="Microsoft YaHei" w:eastAsia="Microsoft YaHei" w:cs="Microsoft YaHei"/>
          <w:sz w:val="18"/>
          <w:szCs w:val="18"/>
          <w:spacing w:val="-2"/>
        </w:rPr>
        <w:t>其他支出等。</w:t>
      </w:r>
    </w:p>
    <w:p>
      <w:pPr>
        <w:ind w:left="364"/>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5"/>
        </w:rPr>
        <w:t>(二)</w:t>
      </w:r>
      <w:r>
        <w:rPr>
          <w:rFonts w:ascii="Microsoft YaHei" w:hAnsi="Microsoft YaHei" w:eastAsia="Microsoft YaHei" w:cs="Microsoft YaHei"/>
          <w:sz w:val="18"/>
          <w:szCs w:val="18"/>
          <w:b/>
          <w:bCs/>
          <w:spacing w:val="49"/>
        </w:rPr>
        <w:t xml:space="preserve"> </w:t>
      </w:r>
      <w:r>
        <w:rPr>
          <w:rFonts w:ascii="Microsoft YaHei" w:hAnsi="Microsoft YaHei" w:eastAsia="Microsoft YaHei" w:cs="Microsoft YaHei"/>
          <w:sz w:val="18"/>
          <w:szCs w:val="18"/>
          <w:b/>
          <w:bCs/>
          <w:spacing w:val="-5"/>
        </w:rPr>
        <w:t>增值收益及其分配</w:t>
      </w:r>
    </w:p>
    <w:p>
      <w:pPr>
        <w:ind w:firstLine="360"/>
        <w:spacing w:before="139"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增值收益是指业务收入与业务支出的差额。住宅专项维修资金和公</w:t>
      </w:r>
      <w:r>
        <w:rPr>
          <w:rFonts w:ascii="Microsoft YaHei" w:hAnsi="Microsoft YaHei" w:eastAsia="Microsoft YaHei" w:cs="Microsoft YaHei"/>
          <w:sz w:val="18"/>
          <w:szCs w:val="18"/>
          <w:spacing w:val="-1"/>
        </w:rPr>
        <w:t>共收益的</w:t>
      </w:r>
      <w:r>
        <w:rPr>
          <w:rFonts w:ascii="Microsoft YaHei" w:hAnsi="Microsoft YaHei" w:eastAsia="Microsoft YaHei" w:cs="Microsoft YaHei"/>
          <w:sz w:val="18"/>
          <w:szCs w:val="18"/>
        </w:rPr>
        <w:t>增值收益可以用于管理费用和支付业主分户及业主大会账户的利息，剩</w:t>
      </w:r>
      <w:r>
        <w:rPr>
          <w:rFonts w:ascii="Microsoft YaHei" w:hAnsi="Microsoft YaHei" w:eastAsia="Microsoft YaHei" w:cs="Microsoft YaHei"/>
          <w:sz w:val="18"/>
          <w:szCs w:val="18"/>
          <w:spacing w:val="-1"/>
        </w:rPr>
        <w:t>余部分转</w:t>
      </w:r>
      <w:r>
        <w:rPr>
          <w:rFonts w:ascii="Microsoft YaHei" w:hAnsi="Microsoft YaHei" w:eastAsia="Microsoft YaHei" w:cs="Microsoft YaHei"/>
          <w:sz w:val="18"/>
          <w:szCs w:val="18"/>
          <w:spacing w:val="-1"/>
        </w:rPr>
        <w:t>入待分配增值收益中。</w:t>
      </w:r>
    </w:p>
    <w:p>
      <w:pPr>
        <w:ind w:left="364"/>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4"/>
          <w:w w:val="97"/>
        </w:rPr>
        <w:t>(三)</w:t>
      </w:r>
      <w:r>
        <w:rPr>
          <w:rFonts w:ascii="Microsoft YaHei" w:hAnsi="Microsoft YaHei" w:eastAsia="Microsoft YaHei" w:cs="Microsoft YaHei"/>
          <w:sz w:val="18"/>
          <w:szCs w:val="18"/>
          <w:b/>
          <w:bCs/>
          <w:spacing w:val="50"/>
          <w:w w:val="101"/>
        </w:rPr>
        <w:t xml:space="preserve"> </w:t>
      </w:r>
      <w:r>
        <w:rPr>
          <w:rFonts w:ascii="Microsoft YaHei" w:hAnsi="Microsoft YaHei" w:eastAsia="Microsoft YaHei" w:cs="Microsoft YaHei"/>
          <w:sz w:val="18"/>
          <w:szCs w:val="18"/>
          <w:b/>
          <w:bCs/>
          <w:spacing w:val="-4"/>
          <w:w w:val="97"/>
        </w:rPr>
        <w:t>预算管理</w:t>
      </w:r>
    </w:p>
    <w:p>
      <w:pPr>
        <w:ind w:firstLine="361"/>
        <w:spacing w:before="139" w:line="31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rPr>
        <w:t>市公积金中心应当根据实际情况编制年度管理费用预算支出，</w:t>
      </w:r>
      <w:r>
        <w:rPr>
          <w:rFonts w:ascii="Microsoft YaHei" w:hAnsi="Microsoft YaHei" w:eastAsia="Microsoft YaHei" w:cs="Microsoft YaHei"/>
          <w:sz w:val="18"/>
          <w:szCs w:val="18"/>
          <w:spacing w:val="-1"/>
        </w:rPr>
        <w:t>并报上级主管</w:t>
      </w:r>
      <w:r>
        <w:rPr>
          <w:rFonts w:ascii="Microsoft YaHei" w:hAnsi="Microsoft YaHei" w:eastAsia="Microsoft YaHei" w:cs="Microsoft YaHei"/>
          <w:sz w:val="18"/>
          <w:szCs w:val="18"/>
          <w:spacing w:val="-1"/>
        </w:rPr>
        <w:t>部门批准。</w:t>
      </w:r>
    </w:p>
    <w:p>
      <w:pPr>
        <w:spacing w:line="314" w:lineRule="auto"/>
        <w:sectPr>
          <w:footerReference w:type="default" r:id="rId4"/>
          <w:pgSz w:w="7937" w:h="11905"/>
          <w:pgMar w:top="1011" w:right="679" w:bottom="908" w:left="960" w:header="0" w:footer="737" w:gutter="0"/>
        </w:sectPr>
        <w:rPr>
          <w:rFonts w:ascii="Microsoft YaHei" w:hAnsi="Microsoft YaHei" w:eastAsia="Microsoft YaHei" w:cs="Microsoft YaHei"/>
          <w:sz w:val="18"/>
          <w:szCs w:val="18"/>
        </w:rPr>
      </w:pPr>
    </w:p>
    <w:p>
      <w:pPr>
        <w:ind w:firstLine="361"/>
        <w:spacing w:before="151" w:line="304" w:lineRule="auto"/>
        <w:jc w:val="both"/>
        <w:rPr>
          <w:rFonts w:ascii="Microsoft YaHei" w:hAnsi="Microsoft YaHei" w:eastAsia="Microsoft YaHei" w:cs="Microsoft YaHei"/>
          <w:sz w:val="18"/>
          <w:szCs w:val="18"/>
        </w:rPr>
      </w:pPr>
      <w:r>
        <w:rPr>
          <w:rFonts w:ascii="Microsoft YaHei" w:hAnsi="Microsoft YaHei" w:eastAsia="Microsoft YaHei" w:cs="Microsoft YaHei"/>
          <w:sz w:val="18"/>
          <w:szCs w:val="18"/>
        </w:rPr>
        <w:t>市公积金中心应当严格按计划执行经批准的预算，并定期向上</w:t>
      </w:r>
      <w:r>
        <w:rPr>
          <w:rFonts w:ascii="Microsoft YaHei" w:hAnsi="Microsoft YaHei" w:eastAsia="Microsoft YaHei" w:cs="Microsoft YaHei"/>
          <w:sz w:val="18"/>
          <w:szCs w:val="18"/>
          <w:spacing w:val="-1"/>
        </w:rPr>
        <w:t>级主管部门报</w:t>
      </w:r>
      <w:r>
        <w:rPr>
          <w:rFonts w:ascii="Microsoft YaHei" w:hAnsi="Microsoft YaHei" w:eastAsia="Microsoft YaHei" w:cs="Microsoft YaHei"/>
          <w:sz w:val="18"/>
          <w:szCs w:val="18"/>
          <w:spacing w:val="-1"/>
        </w:rPr>
        <w:t>送预算执行情况。如需调整，</w:t>
      </w:r>
      <w:r>
        <w:rPr>
          <w:rFonts w:ascii="Microsoft YaHei" w:hAnsi="Microsoft YaHei" w:eastAsia="Microsoft YaHei" w:cs="Microsoft YaHei"/>
          <w:sz w:val="18"/>
          <w:szCs w:val="18"/>
          <w:spacing w:val="-23"/>
        </w:rPr>
        <w:t xml:space="preserve"> </w:t>
      </w:r>
      <w:r>
        <w:rPr>
          <w:rFonts w:ascii="Microsoft YaHei" w:hAnsi="Microsoft YaHei" w:eastAsia="Microsoft YaHei" w:cs="Microsoft YaHei"/>
          <w:sz w:val="18"/>
          <w:szCs w:val="18"/>
          <w:spacing w:val="-1"/>
        </w:rPr>
        <w:t>由市公积金中心编制预算调整方案，并报上级主管</w:t>
      </w:r>
      <w:r>
        <w:rPr>
          <w:rFonts w:ascii="Microsoft YaHei" w:hAnsi="Microsoft YaHei" w:eastAsia="Microsoft YaHei" w:cs="Microsoft YaHei"/>
          <w:sz w:val="18"/>
          <w:szCs w:val="18"/>
          <w:spacing w:val="-1"/>
        </w:rPr>
        <w:t>部门审批同意后，按照调整方案执行。</w:t>
      </w:r>
    </w:p>
    <w:p>
      <w:pPr>
        <w:ind w:left="365"/>
        <w:spacing w:before="1" w:line="195" w:lineRule="auto"/>
        <w:outlineLvl w:val="1"/>
        <w:rPr>
          <w:rFonts w:ascii="Microsoft YaHei" w:hAnsi="Microsoft YaHei" w:eastAsia="Microsoft YaHei" w:cs="Microsoft YaHei"/>
          <w:sz w:val="18"/>
          <w:szCs w:val="18"/>
        </w:rPr>
      </w:pPr>
      <w:r>
        <w:rPr>
          <w:rFonts w:ascii="Microsoft YaHei" w:hAnsi="Microsoft YaHei" w:eastAsia="Microsoft YaHei" w:cs="Microsoft YaHei"/>
          <w:sz w:val="18"/>
          <w:szCs w:val="18"/>
          <w:b/>
          <w:bCs/>
          <w:spacing w:val="-5"/>
        </w:rPr>
        <w:t>(四)</w:t>
      </w:r>
      <w:r>
        <w:rPr>
          <w:rFonts w:ascii="Microsoft YaHei" w:hAnsi="Microsoft YaHei" w:eastAsia="Microsoft YaHei" w:cs="Microsoft YaHei"/>
          <w:sz w:val="18"/>
          <w:szCs w:val="18"/>
          <w:b/>
          <w:bCs/>
          <w:spacing w:val="49"/>
        </w:rPr>
        <w:t xml:space="preserve"> </w:t>
      </w:r>
      <w:r>
        <w:rPr>
          <w:rFonts w:ascii="Microsoft YaHei" w:hAnsi="Microsoft YaHei" w:eastAsia="Microsoft YaHei" w:cs="Microsoft YaHei"/>
          <w:sz w:val="18"/>
          <w:szCs w:val="18"/>
          <w:b/>
          <w:bCs/>
          <w:spacing w:val="-5"/>
        </w:rPr>
        <w:t>历史遗留问题处理</w:t>
      </w:r>
    </w:p>
    <w:p>
      <w:pPr>
        <w:ind w:firstLine="420"/>
        <w:spacing w:before="137" w:line="30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本规定施行前提取的风险准备金、管理费用、直管公房电梯水泵大修更新基</w:t>
      </w:r>
      <w:r>
        <w:rPr>
          <w:rFonts w:ascii="Microsoft YaHei" w:hAnsi="Microsoft YaHei" w:eastAsia="Microsoft YaHei" w:cs="Microsoft YaHei"/>
          <w:sz w:val="18"/>
          <w:szCs w:val="18"/>
          <w:spacing w:val="-1"/>
        </w:rPr>
        <w:t>金等，全部转入待分配增值收益中;房屋灭失的，公有住</w:t>
      </w:r>
      <w:r>
        <w:rPr>
          <w:rFonts w:ascii="Microsoft YaHei" w:hAnsi="Microsoft YaHei" w:eastAsia="Microsoft YaHei" w:cs="Microsoft YaHei"/>
          <w:sz w:val="18"/>
          <w:szCs w:val="18"/>
          <w:spacing w:val="-2"/>
        </w:rPr>
        <w:t>房出售单位交存的维修资</w:t>
      </w:r>
      <w:r>
        <w:rPr>
          <w:rFonts w:ascii="Microsoft YaHei" w:hAnsi="Microsoft YaHei" w:eastAsia="Microsoft YaHei" w:cs="Microsoft YaHei"/>
          <w:sz w:val="18"/>
          <w:szCs w:val="18"/>
          <w:spacing w:val="-1"/>
        </w:rPr>
        <w:t>金余额无法退还出售单位的</w:t>
      </w:r>
      <w:r>
        <w:rPr>
          <w:rFonts w:ascii="Microsoft YaHei" w:hAnsi="Microsoft YaHei" w:eastAsia="Microsoft YaHei" w:cs="Microsoft YaHei"/>
          <w:sz w:val="18"/>
          <w:szCs w:val="18"/>
          <w:spacing w:val="-22"/>
        </w:rPr>
        <w:t xml:space="preserve"> </w:t>
      </w:r>
      <w:r>
        <w:rPr>
          <w:rFonts w:ascii="Microsoft YaHei" w:hAnsi="Microsoft YaHei" w:eastAsia="Microsoft YaHei" w:cs="Microsoft YaHei"/>
          <w:sz w:val="18"/>
          <w:szCs w:val="18"/>
          <w:spacing w:val="-1"/>
        </w:rPr>
        <w:t>，报上级主管部门同意后，转入待分配增值收益中。</w:t>
      </w:r>
      <w:r>
        <w:rPr>
          <w:rFonts w:ascii="Microsoft YaHei" w:hAnsi="Microsoft YaHei" w:eastAsia="Microsoft YaHei" w:cs="Microsoft YaHei"/>
          <w:sz w:val="18"/>
          <w:szCs w:val="18"/>
        </w:rPr>
        <w:t>解决历史遗留问题发生的费用可以在管理费用</w:t>
      </w:r>
      <w:r>
        <w:rPr>
          <w:rFonts w:ascii="Microsoft YaHei" w:hAnsi="Microsoft YaHei" w:eastAsia="Microsoft YaHei" w:cs="Microsoft YaHei"/>
          <w:sz w:val="18"/>
          <w:szCs w:val="18"/>
          <w:spacing w:val="-1"/>
        </w:rPr>
        <w:t>中列支。</w:t>
      </w:r>
    </w:p>
    <w:sectPr>
      <w:footerReference w:type="default" r:id="rId5"/>
      <w:pgSz w:w="7937" w:h="11905"/>
      <w:pgMar w:top="1011" w:right="957" w:bottom="908" w:left="681" w:header="0" w:footer="736"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6"/>
      <w:spacing w:line="187" w:lineRule="auto"/>
      <w:rPr>
        <w:sz w:val="18"/>
        <w:szCs w:val="18"/>
      </w:rPr>
    </w:pPr>
    <w:r>
      <w:rPr>
        <w:sz w:val="18"/>
        <w:szCs w:val="18"/>
        <w:spacing w:val="-4"/>
      </w:rPr>
      <w:t>-</w:t>
    </w:r>
    <w:r>
      <w:rPr>
        <w:sz w:val="18"/>
        <w:szCs w:val="18"/>
        <w:spacing w:val="29"/>
      </w:rPr>
      <w:t xml:space="preserve"> </w:t>
    </w:r>
    <w:r>
      <w:rPr>
        <w:sz w:val="18"/>
        <w:szCs w:val="18"/>
        <w:spacing w:val="-4"/>
      </w:rPr>
      <w:t>1</w:t>
    </w:r>
    <w:r>
      <w:rPr>
        <w:sz w:val="18"/>
        <w:szCs w:val="18"/>
        <w:spacing w:val="14"/>
        <w:w w:val="101"/>
      </w:rPr>
      <w:t xml:space="preserve"> </w:t>
    </w:r>
    <w:r>
      <w:rPr>
        <w:sz w:val="18"/>
        <w:szCs w:val="18"/>
        <w:spacing w:val="-4"/>
      </w:rPr>
      <w:t>-</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9" w:lineRule="auto"/>
      <w:rPr>
        <w:sz w:val="18"/>
        <w:szCs w:val="18"/>
      </w:rPr>
    </w:pPr>
    <w:r>
      <w:rPr>
        <w:sz w:val="18"/>
        <w:szCs w:val="18"/>
        <w:spacing w:val="-1"/>
      </w:rPr>
      <w:t>-</w:t>
    </w:r>
    <w:r>
      <w:rPr>
        <w:sz w:val="18"/>
        <w:szCs w:val="18"/>
        <w:spacing w:val="18"/>
      </w:rPr>
      <w:t xml:space="preserve"> </w:t>
    </w:r>
    <w:r>
      <w:rPr>
        <w:sz w:val="18"/>
        <w:szCs w:val="18"/>
        <w:spacing w:val="-1"/>
      </w:rPr>
      <w:t>2</w:t>
    </w:r>
    <w:r>
      <w:rPr>
        <w:sz w:val="18"/>
        <w:szCs w:val="18"/>
        <w:spacing w:val="17"/>
      </w:rPr>
      <w:t xml:space="preserve"> </w:t>
    </w:r>
    <w:r>
      <w:rPr>
        <w:sz w:val="18"/>
        <w:szCs w:val="18"/>
        <w:spacing w:val="-1"/>
      </w:rPr>
      <w:t>-</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9" w:lineRule="auto"/>
      <w:rPr>
        <w:sz w:val="18"/>
        <w:szCs w:val="18"/>
      </w:rPr>
    </w:pPr>
    <w:r>
      <w:rPr>
        <w:sz w:val="18"/>
        <w:szCs w:val="18"/>
        <w:spacing w:val="-2"/>
      </w:rPr>
      <w:t>-</w:t>
    </w:r>
    <w:r>
      <w:rPr>
        <w:sz w:val="18"/>
        <w:szCs w:val="18"/>
        <w:spacing w:val="23"/>
      </w:rPr>
      <w:t xml:space="preserve"> </w:t>
    </w:r>
    <w:r>
      <w:rPr>
        <w:sz w:val="18"/>
        <w:szCs w:val="18"/>
        <w:spacing w:val="-2"/>
      </w:rPr>
      <w:t>3</w:t>
    </w:r>
    <w:r>
      <w:rPr>
        <w:sz w:val="18"/>
        <w:szCs w:val="18"/>
        <w:spacing w:val="14"/>
        <w:w w:val="101"/>
      </w:rPr>
      <w:t xml:space="preserve"> </w:t>
    </w:r>
    <w:r>
      <w:rPr>
        <w:sz w:val="18"/>
        <w:szCs w:val="18"/>
        <w:spacing w:val="-2"/>
      </w:rPr>
      <w:t>-</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7" w:lineRule="auto"/>
      <w:rPr>
        <w:sz w:val="18"/>
        <w:szCs w:val="18"/>
      </w:rPr>
    </w:pPr>
    <w:r>
      <w:rPr>
        <w:sz w:val="18"/>
        <w:szCs w:val="18"/>
      </w:rPr>
      <w:t>-</w:t>
    </w:r>
    <w:r>
      <w:rPr>
        <w:sz w:val="18"/>
        <w:szCs w:val="18"/>
        <w:spacing w:val="14"/>
        <w:w w:val="101"/>
      </w:rPr>
      <w:t xml:space="preserve"> </w:t>
    </w:r>
    <w:r>
      <w:rPr>
        <w:sz w:val="18"/>
        <w:szCs w:val="18"/>
      </w:rPr>
      <w:t>4</w:t>
    </w:r>
    <w:r>
      <w:rPr>
        <w:sz w:val="18"/>
        <w:szCs w:val="18"/>
        <w:spacing w:val="17"/>
      </w:rPr>
      <w:t xml:space="preserve"> </w:t>
    </w:r>
    <w:r>
      <w:rPr>
        <w:sz w:val="18"/>
        <w:szCs w:val="18"/>
      </w:rPr>
      <w:t>-</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2977"/>
      <w:spacing w:line="187" w:lineRule="auto"/>
      <w:rPr>
        <w:sz w:val="18"/>
        <w:szCs w:val="18"/>
      </w:rPr>
    </w:pPr>
    <w:r>
      <w:rPr>
        <w:sz w:val="18"/>
        <w:szCs w:val="18"/>
        <w:spacing w:val="-2"/>
      </w:rPr>
      <w:t>-</w:t>
    </w:r>
    <w:r>
      <w:rPr>
        <w:sz w:val="18"/>
        <w:szCs w:val="18"/>
        <w:spacing w:val="23"/>
      </w:rPr>
      <w:t xml:space="preserve"> </w:t>
    </w:r>
    <w:r>
      <w:rPr>
        <w:sz w:val="18"/>
        <w:szCs w:val="18"/>
        <w:spacing w:val="-2"/>
      </w:rPr>
      <w:t>5</w:t>
    </w:r>
    <w:r>
      <w:rPr>
        <w:sz w:val="18"/>
        <w:szCs w:val="18"/>
        <w:spacing w:val="14"/>
        <w:w w:val="101"/>
      </w:rPr>
      <w:t xml:space="preserve"> </w:t>
    </w:r>
    <w:r>
      <w:rPr>
        <w:sz w:val="18"/>
        <w:szCs w:val="18"/>
        <w:spacing w:val="-2"/>
      </w:rPr>
      <w:t>-</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dc:creator>
  <dcterms:created xsi:type="dcterms:W3CDTF">2023-12-29T15:36:25Z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2026-04-01T09:46:07</vt:filetime>
  </property>
</Properties>
</file>