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3F6" w:rsidRPr="004203F6" w:rsidRDefault="004203F6" w:rsidP="004203F6">
      <w:pPr>
        <w:spacing w:line="360" w:lineRule="auto"/>
        <w:jc w:val="center"/>
        <w:rPr>
          <w:rFonts w:hint="eastAsia"/>
          <w:b/>
        </w:rPr>
      </w:pPr>
      <w:r w:rsidRPr="004203F6">
        <w:rPr>
          <w:rFonts w:hint="eastAsia"/>
          <w:b/>
        </w:rPr>
        <w:t>关于印发《关于进一步优化本市建设工程招投标管理工作的通知》</w:t>
      </w:r>
    </w:p>
    <w:p w:rsidR="004203F6" w:rsidRPr="004203F6" w:rsidRDefault="004203F6" w:rsidP="004203F6">
      <w:pPr>
        <w:spacing w:line="360" w:lineRule="auto"/>
        <w:jc w:val="center"/>
        <w:rPr>
          <w:rFonts w:hint="eastAsia"/>
          <w:color w:val="FF0000"/>
        </w:rPr>
      </w:pPr>
      <w:r w:rsidRPr="004203F6">
        <w:rPr>
          <w:rFonts w:hint="eastAsia"/>
          <w:color w:val="FF0000"/>
        </w:rPr>
        <w:t>沪建规范〔</w:t>
      </w:r>
      <w:r w:rsidRPr="004203F6">
        <w:rPr>
          <w:rFonts w:hint="eastAsia"/>
          <w:color w:val="FF0000"/>
        </w:rPr>
        <w:t>2025</w:t>
      </w:r>
      <w:r w:rsidRPr="004203F6">
        <w:rPr>
          <w:rFonts w:hint="eastAsia"/>
          <w:color w:val="FF0000"/>
        </w:rPr>
        <w:t>〕</w:t>
      </w:r>
      <w:r w:rsidRPr="004203F6">
        <w:rPr>
          <w:rFonts w:hint="eastAsia"/>
          <w:color w:val="FF0000"/>
        </w:rPr>
        <w:t xml:space="preserve">10 </w:t>
      </w:r>
      <w:r w:rsidRPr="004203F6">
        <w:rPr>
          <w:rFonts w:hint="eastAsia"/>
          <w:color w:val="FF0000"/>
        </w:rPr>
        <w:t>号</w:t>
      </w:r>
    </w:p>
    <w:p w:rsidR="004203F6" w:rsidRDefault="004203F6" w:rsidP="004203F6">
      <w:pPr>
        <w:spacing w:line="360" w:lineRule="auto"/>
        <w:jc w:val="center"/>
        <w:rPr>
          <w:rFonts w:hint="eastAsia"/>
        </w:rPr>
      </w:pPr>
      <w:r>
        <w:rPr>
          <w:rFonts w:hint="eastAsia"/>
        </w:rPr>
        <w:t>发布时间：</w:t>
      </w:r>
      <w:r>
        <w:rPr>
          <w:rFonts w:hint="eastAsia"/>
        </w:rPr>
        <w:t>2025-09-25</w:t>
      </w:r>
    </w:p>
    <w:p w:rsidR="004203F6" w:rsidRDefault="004203F6" w:rsidP="004203F6">
      <w:pPr>
        <w:spacing w:line="360" w:lineRule="auto"/>
        <w:jc w:val="left"/>
      </w:pPr>
      <w:r>
        <w:rPr>
          <w:rFonts w:hint="eastAsia"/>
        </w:rPr>
        <w:t>各区建设管理（交通）委、特定地区管委会，各有关单位：</w:t>
      </w:r>
    </w:p>
    <w:p w:rsidR="004203F6" w:rsidRDefault="004203F6" w:rsidP="004203F6">
      <w:pPr>
        <w:spacing w:line="360" w:lineRule="auto"/>
        <w:rPr>
          <w:rFonts w:hint="eastAsia"/>
        </w:rPr>
      </w:pPr>
      <w:r>
        <w:t>  </w:t>
      </w:r>
      <w:r>
        <w:rPr>
          <w:rFonts w:hint="eastAsia"/>
        </w:rPr>
        <w:t>为进一步促进本市建设工程招投标市场公平竞争，规范建设工程招投标活动，优化完善招投标管理工作，提高招投标交易服务水平，保障建筑市场健康发展，结合本市实际情况，现就有关工作通知如下：</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优化资格预审评审机制</w:t>
      </w:r>
    </w:p>
    <w:p w:rsidR="004203F6" w:rsidRDefault="004203F6" w:rsidP="004203F6">
      <w:pPr>
        <w:spacing w:line="360" w:lineRule="auto"/>
      </w:pPr>
      <w:r>
        <w:t>  </w:t>
      </w:r>
      <w:r>
        <w:rPr>
          <w:rFonts w:hint="eastAsia"/>
        </w:rPr>
        <w:t>对于施工总承包单项合同估算价</w:t>
      </w:r>
      <w:r w:rsidRPr="004203F6">
        <w:rPr>
          <w:color w:val="FF0000"/>
        </w:rPr>
        <w:t>5000</w:t>
      </w:r>
      <w:r w:rsidRPr="004203F6">
        <w:rPr>
          <w:rFonts w:hint="eastAsia"/>
          <w:color w:val="FF0000"/>
        </w:rPr>
        <w:t>万元</w:t>
      </w:r>
      <w:r>
        <w:rPr>
          <w:rFonts w:hint="eastAsia"/>
        </w:rPr>
        <w:t>及以上，或者专业工程单项合同估算价</w:t>
      </w:r>
      <w:r w:rsidRPr="004203F6">
        <w:rPr>
          <w:color w:val="FF0000"/>
        </w:rPr>
        <w:t>3000</w:t>
      </w:r>
      <w:r>
        <w:rPr>
          <w:rFonts w:hint="eastAsia"/>
        </w:rPr>
        <w:t>万元及以上，或者《上海市建设工程招标投标管理办法实施细则》（以下简称《实施细则》）所指的施工技术复杂的施工招标标段，可以采用资格预审。单项合同估算价金额应当扣除暂列金额及专业工程暂估价。</w:t>
      </w:r>
      <w:r>
        <w:t>  </w:t>
      </w:r>
    </w:p>
    <w:p w:rsidR="004203F6" w:rsidRDefault="004203F6" w:rsidP="004203F6">
      <w:pPr>
        <w:spacing w:line="360" w:lineRule="auto"/>
        <w:rPr>
          <w:rFonts w:hint="eastAsia"/>
          <w:b/>
        </w:rPr>
      </w:pPr>
      <w:r>
        <w:rPr>
          <w:rFonts w:hint="eastAsia"/>
        </w:rPr>
        <w:t>招标人在编制招标资格预审文件时，采用有限数量制的资格预审审查办法的，应当明确通过资格预审的申请人数量不少于</w:t>
      </w:r>
      <w:r w:rsidRPr="004203F6">
        <w:rPr>
          <w:rFonts w:hint="eastAsia"/>
          <w:color w:val="FF0000"/>
        </w:rPr>
        <w:t>9</w:t>
      </w:r>
      <w:r>
        <w:rPr>
          <w:rFonts w:hint="eastAsia"/>
        </w:rPr>
        <w:t>家，其中，同一企业直接或间接控股的企业通过资格预审的申请人不得超过</w:t>
      </w:r>
      <w:r>
        <w:rPr>
          <w:rFonts w:hint="eastAsia"/>
        </w:rPr>
        <w:t>3</w:t>
      </w:r>
      <w:r>
        <w:rPr>
          <w:rFonts w:hint="eastAsia"/>
        </w:rPr>
        <w:t>家。资格预审的申请人少于</w:t>
      </w:r>
      <w:r>
        <w:rPr>
          <w:rFonts w:hint="eastAsia"/>
        </w:rPr>
        <w:t>10</w:t>
      </w:r>
      <w:r>
        <w:rPr>
          <w:rFonts w:hint="eastAsia"/>
        </w:rPr>
        <w:t>人且不低于</w:t>
      </w:r>
      <w:r>
        <w:rPr>
          <w:rFonts w:hint="eastAsia"/>
        </w:rPr>
        <w:t>7</w:t>
      </w:r>
      <w:r>
        <w:rPr>
          <w:rFonts w:hint="eastAsia"/>
        </w:rPr>
        <w:t>人时，合格的申请人均通过资格预审。</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完善招标评标办法</w:t>
      </w:r>
    </w:p>
    <w:p w:rsidR="004203F6" w:rsidRDefault="004203F6" w:rsidP="004203F6">
      <w:pPr>
        <w:spacing w:line="360" w:lineRule="auto"/>
        <w:rPr>
          <w:rFonts w:hint="eastAsia"/>
        </w:rPr>
      </w:pPr>
      <w:r>
        <w:t>  </w:t>
      </w:r>
      <w:r>
        <w:rPr>
          <w:rFonts w:hint="eastAsia"/>
        </w:rPr>
        <w:t>房屋建筑和市政基础设施施工招标的评标办法包括</w:t>
      </w:r>
      <w:r w:rsidRPr="004203F6">
        <w:rPr>
          <w:rFonts w:hint="eastAsia"/>
          <w:color w:val="FF0000"/>
        </w:rPr>
        <w:t>经评审的合理低价法、</w:t>
      </w:r>
      <w:r w:rsidRPr="004203F6">
        <w:rPr>
          <w:rFonts w:hint="eastAsia"/>
          <w:b/>
          <w:color w:val="FF0000"/>
        </w:rPr>
        <w:t>有担保的澄清低价法</w:t>
      </w:r>
      <w:r w:rsidRPr="004203F6">
        <w:rPr>
          <w:rFonts w:hint="eastAsia"/>
          <w:color w:val="FF0000"/>
        </w:rPr>
        <w:t>、综合评估法</w:t>
      </w:r>
      <w:r>
        <w:rPr>
          <w:rFonts w:hint="eastAsia"/>
        </w:rPr>
        <w:t>和法律法规允许的其他评标办法。经评审的合理低价法适用于所有类型的标段。有担保的澄清低价法适用于招标人具备严格履约管理体系，</w:t>
      </w:r>
      <w:r w:rsidRPr="004203F6">
        <w:rPr>
          <w:rFonts w:hint="eastAsia"/>
          <w:color w:val="FF0000"/>
        </w:rPr>
        <w:t>启动招标时已完成施工图设计且采用总价合同的标段。</w:t>
      </w:r>
      <w:r>
        <w:rPr>
          <w:rFonts w:hint="eastAsia"/>
        </w:rPr>
        <w:t>综合评估法适用于符合至少下列两项条件的标段：一是《实施细则》所指的施工技术复杂的；二是单项合同估算价</w:t>
      </w:r>
      <w:r>
        <w:t>1</w:t>
      </w:r>
      <w:r>
        <w:rPr>
          <w:rFonts w:hint="eastAsia"/>
        </w:rPr>
        <w:t>亿元（扣除暂列金额及专业工程暂估价）及以上；三是市、区两级重大工程（其中区级重大工程应当列入区级年度重大工程清单）。采用经评审的合理低价法（资格预审除外）合理低价计算中的投标报价下浮率范围调整为</w:t>
      </w:r>
      <w:r>
        <w:rPr>
          <w:rFonts w:hint="eastAsia"/>
        </w:rPr>
        <w:t>1%</w:t>
      </w:r>
      <w:r>
        <w:rPr>
          <w:rFonts w:hint="eastAsia"/>
        </w:rPr>
        <w:t>～</w:t>
      </w:r>
      <w:r>
        <w:rPr>
          <w:rFonts w:hint="eastAsia"/>
        </w:rPr>
        <w:t>4%</w:t>
      </w:r>
      <w:r>
        <w:rPr>
          <w:rFonts w:hint="eastAsia"/>
        </w:rPr>
        <w:t>。</w:t>
      </w:r>
    </w:p>
    <w:p w:rsidR="004203F6" w:rsidRDefault="004203F6" w:rsidP="004203F6">
      <w:pPr>
        <w:spacing w:line="360" w:lineRule="auto"/>
      </w:pPr>
      <w:r>
        <w:t>  </w:t>
      </w:r>
      <w:r>
        <w:rPr>
          <w:rFonts w:hint="eastAsia"/>
        </w:rPr>
        <w:t>材料、设备招标评标办法包括经评审的合理低价法、综合评估法和法律法规允许的其他评标办法。由单个或多个招标人在同一时间段采购的不同项目中规格、型号类似的材料或设备，项目经正式立项后，可以向招投标监管部门申请开展集中采购。</w:t>
      </w:r>
    </w:p>
    <w:p w:rsidR="004203F6" w:rsidRDefault="004203F6" w:rsidP="004203F6">
      <w:pPr>
        <w:spacing w:line="360" w:lineRule="auto"/>
      </w:pPr>
      <w:r>
        <w:t>  </w:t>
      </w:r>
      <w:r>
        <w:rPr>
          <w:rFonts w:hint="eastAsia"/>
        </w:rPr>
        <w:t>评标办法由上海市建设工程招标投标管理办公室结合实际制定发布。</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推行施工招标智能暗标评审</w:t>
      </w:r>
    </w:p>
    <w:p w:rsidR="004203F6" w:rsidRDefault="004203F6" w:rsidP="004203F6">
      <w:pPr>
        <w:spacing w:line="360" w:lineRule="auto"/>
      </w:pPr>
      <w:r>
        <w:lastRenderedPageBreak/>
        <w:t>  </w:t>
      </w:r>
      <w:r>
        <w:rPr>
          <w:rFonts w:hint="eastAsia"/>
        </w:rPr>
        <w:t>在技术标详细评审采用打分制的施工招标项目中，探索应用人工智能技术，推行针对技术方案的智能暗标评审。评标时智能识别投标文件文本数据中的投标人相关标识，进行暗标处理。投标人在编制投标文件时需要附上图片等数据的，应当隐藏投标人的相关标识。</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试行智慧辅助评审</w:t>
      </w:r>
    </w:p>
    <w:p w:rsidR="004203F6" w:rsidRDefault="004203F6" w:rsidP="004203F6">
      <w:pPr>
        <w:spacing w:line="360" w:lineRule="auto"/>
      </w:pPr>
      <w:r>
        <w:t>  </w:t>
      </w:r>
      <w:r>
        <w:rPr>
          <w:rFonts w:hint="eastAsia"/>
        </w:rPr>
        <w:t>加快训练适应建设工程招投标的大模型智能体，将人工智能深度融入评标系统，试行对否决条款开展智慧辅助评审。开标后，建设工程招投标平台启动智慧分析，判断投标文件是否存在否决条款情形。投标人对否决条款分析结果存疑的，可以在收到分析结果的</w:t>
      </w:r>
      <w:r>
        <w:t>24</w:t>
      </w:r>
      <w:r>
        <w:rPr>
          <w:rFonts w:hint="eastAsia"/>
        </w:rPr>
        <w:t>小时内逐项在线澄清。分析结果和澄清内容提交评标委员会进行评审。</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建立异常低价甄别机制</w:t>
      </w:r>
    </w:p>
    <w:p w:rsidR="004203F6" w:rsidRDefault="004203F6" w:rsidP="004203F6">
      <w:pPr>
        <w:spacing w:line="360" w:lineRule="auto"/>
      </w:pPr>
      <w:r>
        <w:t>  </w:t>
      </w:r>
      <w:r>
        <w:rPr>
          <w:rFonts w:hint="eastAsia"/>
        </w:rPr>
        <w:t>制定异常低价判定标准，规范异常低价处置程序。</w:t>
      </w:r>
      <w:r w:rsidRPr="004203F6">
        <w:rPr>
          <w:rFonts w:hint="eastAsia"/>
          <w:color w:val="FF0000"/>
        </w:rPr>
        <w:t>招标人可以在招标文件中明确对中标候选人进行异常低价甄别。</w:t>
      </w:r>
      <w:r>
        <w:rPr>
          <w:rFonts w:hint="eastAsia"/>
        </w:rPr>
        <w:t>评标委员会应当按照判定标准对中标候选人的投标报价进行异常低价甄别。第一中标候选人存在疑似异常低价的，招标人在定标环节应当对其异常子目报价发起澄清要求。第一中标候选人提交的相关材料无法证明其报价合理性的，招标人可以将其判定为异常低价，并取消其中标资格。</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加强开评标场所标准化建设</w:t>
      </w:r>
    </w:p>
    <w:p w:rsidR="004203F6" w:rsidRDefault="004203F6" w:rsidP="004203F6">
      <w:pPr>
        <w:spacing w:line="360" w:lineRule="auto"/>
      </w:pPr>
      <w:r>
        <w:t>  </w:t>
      </w:r>
      <w:r>
        <w:rPr>
          <w:rFonts w:hint="eastAsia"/>
        </w:rPr>
        <w:t>完善开评标场所空间布局和功能，加强音视频监控数据传送、采集和存储管理，确保交易全过程可追溯，</w:t>
      </w:r>
      <w:r w:rsidRPr="004203F6">
        <w:rPr>
          <w:rFonts w:hint="eastAsia"/>
          <w:color w:val="FF0000"/>
        </w:rPr>
        <w:t>评标现场音视频资料应从评标结束之日起至少保存</w:t>
      </w:r>
      <w:r w:rsidRPr="004203F6">
        <w:rPr>
          <w:color w:val="FF0000"/>
        </w:rPr>
        <w:t>2</w:t>
      </w:r>
      <w:r w:rsidRPr="004203F6">
        <w:rPr>
          <w:rFonts w:hint="eastAsia"/>
          <w:color w:val="FF0000"/>
        </w:rPr>
        <w:t>年。</w:t>
      </w:r>
      <w:r>
        <w:rPr>
          <w:rFonts w:hint="eastAsia"/>
        </w:rPr>
        <w:t>大力推广分散评标应用，强化现场秩序管理，严格执行评标专家名单保密机制，落实评标专家和招标人代表、招标代理的评标前动线隔离措施。</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规范投标人资格设定</w:t>
      </w:r>
    </w:p>
    <w:p w:rsidR="004203F6" w:rsidRPr="004203F6" w:rsidRDefault="004203F6" w:rsidP="004203F6">
      <w:pPr>
        <w:spacing w:line="360" w:lineRule="auto"/>
        <w:rPr>
          <w:color w:val="FF0000"/>
        </w:rPr>
      </w:pPr>
      <w:r>
        <w:t>  </w:t>
      </w:r>
      <w:r>
        <w:rPr>
          <w:rFonts w:hint="eastAsia"/>
        </w:rPr>
        <w:t>招标人应当依法设定投标人资质要求。</w:t>
      </w:r>
      <w:r w:rsidRPr="004203F6">
        <w:rPr>
          <w:rFonts w:hint="eastAsia"/>
          <w:color w:val="FF0000"/>
        </w:rPr>
        <w:t>要求投标人具备施工总承包资质的，不得再附加总承包资质可承包工程范围内的专业工程对应的专业承包资质。施工招标项目（标段）仅涉及一项专业工程内容的，应当要求投标人具备相应的专业承包资质；涉及两项专业工程内容的，应当要求投标人具备相应施工总承包资质或相应两项专业承包资质；涉及三项及以上专业工程内容的，应当要求投标人具备相应施工总承包资质。</w:t>
      </w:r>
    </w:p>
    <w:p w:rsidR="004203F6" w:rsidRDefault="004203F6" w:rsidP="004203F6">
      <w:pPr>
        <w:spacing w:line="360" w:lineRule="auto"/>
      </w:pPr>
      <w:r>
        <w:t>  </w:t>
      </w:r>
      <w:r>
        <w:rPr>
          <w:rFonts w:hint="eastAsia"/>
        </w:rPr>
        <w:t>招标人可以在招标文件或者资格预审文件中规定自然人和其近亲属直接或间接控股的企业参加投标或者通过资格预审的单位数量。在资格后审的招标中，招标人可以在招标文件中规定同一企业直接或间接控股的企业参加投标的单位数量。以上数量应当在招标公告或资格预审公告中明确。</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加强招标代理机构管理</w:t>
      </w:r>
    </w:p>
    <w:p w:rsidR="004203F6" w:rsidRDefault="004203F6" w:rsidP="004203F6">
      <w:pPr>
        <w:spacing w:line="360" w:lineRule="auto"/>
      </w:pPr>
      <w:r>
        <w:lastRenderedPageBreak/>
        <w:t>  </w:t>
      </w:r>
      <w:r>
        <w:rPr>
          <w:rFonts w:hint="eastAsia"/>
        </w:rPr>
        <w:t>将招标代理机构的不良行为记录在本市建设工程招投标平台和交易场所予以公示。加大对招标代理机构事中事后监管的力度，开展专项检查。</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加强评标专家管理</w:t>
      </w:r>
    </w:p>
    <w:p w:rsidR="004203F6" w:rsidRDefault="004203F6" w:rsidP="004203F6">
      <w:pPr>
        <w:spacing w:line="360" w:lineRule="auto"/>
      </w:pPr>
      <w:r>
        <w:t>  </w:t>
      </w:r>
      <w:r>
        <w:rPr>
          <w:rFonts w:hint="eastAsia"/>
        </w:rPr>
        <w:t>智能监管评标专家评审行为。依托建设工程招投标平台监测评标专家的评审行为，通过大智慧监管系统智能识别异常评审行为，评标结束后生成评标专家评审行为分析报告。分析报告显示评标专家可能存在违规行为的，招投标监管部门应当进行核查，经查实确有违规行为的，依法依规予以处理。</w:t>
      </w:r>
    </w:p>
    <w:p w:rsidR="004203F6" w:rsidRDefault="004203F6" w:rsidP="004203F6">
      <w:pPr>
        <w:spacing w:line="360" w:lineRule="auto"/>
      </w:pPr>
      <w:r>
        <w:t>  </w:t>
      </w:r>
      <w:r>
        <w:rPr>
          <w:rFonts w:hint="eastAsia"/>
        </w:rPr>
        <w:t>完善评标专家劳务报酬管理，制定评标专家劳务报酬标准和支付机制。</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加强施工总承包的分包管理</w:t>
      </w:r>
    </w:p>
    <w:p w:rsidR="004203F6" w:rsidRDefault="004203F6" w:rsidP="004203F6">
      <w:pPr>
        <w:spacing w:line="360" w:lineRule="auto"/>
      </w:pPr>
      <w:r>
        <w:t>  </w:t>
      </w:r>
      <w:r w:rsidRPr="004203F6">
        <w:rPr>
          <w:rFonts w:hint="eastAsia"/>
          <w:color w:val="FF0000"/>
        </w:rPr>
        <w:t>招标人可以在招标文件中明确禁止分包的专业工程以及设定分包单位数量上限。</w:t>
      </w:r>
      <w:r>
        <w:rPr>
          <w:rFonts w:hint="eastAsia"/>
        </w:rPr>
        <w:t>投标人应当对招标文件提出的要求作出响应，在投标文件中列明拟分包的专业工程。</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严格执行项目负责人管理要求</w:t>
      </w:r>
    </w:p>
    <w:p w:rsidR="004203F6" w:rsidRDefault="004203F6" w:rsidP="004203F6">
      <w:pPr>
        <w:spacing w:line="360" w:lineRule="auto"/>
      </w:pPr>
      <w:r>
        <w:t>  </w:t>
      </w:r>
      <w:r>
        <w:rPr>
          <w:rFonts w:hint="eastAsia"/>
        </w:rPr>
        <w:t>施工项目负责人应当到岗履职，中标人确需变更项目负责人的，应当严格按照施工合同的约定以及本市项目负责人变更相关规定执行。注册建造师不得同时担任两个及以上的建设工程施工项目负责人，国家另有规定的从其规定。</w:t>
      </w:r>
    </w:p>
    <w:p w:rsidR="004203F6" w:rsidRPr="004203F6" w:rsidRDefault="004203F6" w:rsidP="004203F6">
      <w:pPr>
        <w:pStyle w:val="a5"/>
        <w:numPr>
          <w:ilvl w:val="0"/>
          <w:numId w:val="1"/>
        </w:numPr>
        <w:tabs>
          <w:tab w:val="left" w:pos="567"/>
        </w:tabs>
        <w:spacing w:line="360" w:lineRule="auto"/>
        <w:ind w:firstLineChars="0"/>
        <w:rPr>
          <w:b/>
        </w:rPr>
      </w:pPr>
      <w:r w:rsidRPr="004203F6">
        <w:rPr>
          <w:rFonts w:hint="eastAsia"/>
          <w:b/>
        </w:rPr>
        <w:t>支持中小企业参与投标</w:t>
      </w:r>
    </w:p>
    <w:p w:rsidR="004203F6" w:rsidRDefault="004203F6" w:rsidP="004203F6">
      <w:pPr>
        <w:spacing w:line="360" w:lineRule="auto"/>
      </w:pPr>
      <w:r>
        <w:t>  </w:t>
      </w:r>
      <w:r>
        <w:rPr>
          <w:rFonts w:hint="eastAsia"/>
        </w:rPr>
        <w:t>在依法必须招标的政府投资项目中，选取一定数量适宜由中小企业承建的房屋建筑和市政基础设施工程，以项目整体预留或者设置标段预留的方式，专门面向中小企业招标。</w:t>
      </w:r>
    </w:p>
    <w:p w:rsidR="004203F6" w:rsidRDefault="004203F6" w:rsidP="004203F6">
      <w:pPr>
        <w:spacing w:line="360" w:lineRule="auto"/>
      </w:pPr>
      <w:r>
        <w:t>  </w:t>
      </w:r>
      <w:r>
        <w:rPr>
          <w:rFonts w:hint="eastAsia"/>
        </w:rPr>
        <w:t>本通知自</w:t>
      </w:r>
      <w:r w:rsidRPr="004203F6">
        <w:rPr>
          <w:color w:val="FF0000"/>
        </w:rPr>
        <w:t>2025</w:t>
      </w:r>
      <w:r w:rsidRPr="004203F6">
        <w:rPr>
          <w:rFonts w:hint="eastAsia"/>
          <w:color w:val="FF0000"/>
        </w:rPr>
        <w:t>年</w:t>
      </w:r>
      <w:r w:rsidRPr="004203F6">
        <w:rPr>
          <w:color w:val="FF0000"/>
        </w:rPr>
        <w:t>10</w:t>
      </w:r>
      <w:r w:rsidRPr="004203F6">
        <w:rPr>
          <w:rFonts w:hint="eastAsia"/>
          <w:color w:val="FF0000"/>
        </w:rPr>
        <w:t>月</w:t>
      </w:r>
      <w:r w:rsidRPr="004203F6">
        <w:rPr>
          <w:color w:val="FF0000"/>
        </w:rPr>
        <w:t>1</w:t>
      </w:r>
      <w:r w:rsidRPr="004203F6">
        <w:rPr>
          <w:rFonts w:hint="eastAsia"/>
          <w:color w:val="FF0000"/>
        </w:rPr>
        <w:t>日起施行，</w:t>
      </w:r>
      <w:r>
        <w:rPr>
          <w:rFonts w:hint="eastAsia"/>
        </w:rPr>
        <w:t>有效期至</w:t>
      </w:r>
      <w:r>
        <w:t>2030</w:t>
      </w:r>
      <w:r>
        <w:rPr>
          <w:rFonts w:hint="eastAsia"/>
        </w:rPr>
        <w:t>年</w:t>
      </w:r>
      <w:r>
        <w:t>6</w:t>
      </w:r>
      <w:r>
        <w:rPr>
          <w:rFonts w:hint="eastAsia"/>
        </w:rPr>
        <w:t>月</w:t>
      </w:r>
      <w:r>
        <w:t>30</w:t>
      </w:r>
      <w:r>
        <w:rPr>
          <w:rFonts w:hint="eastAsia"/>
        </w:rPr>
        <w:t>日。《上海市建设工程招标投标管理办法实施细则》（沪建规范〔</w:t>
      </w:r>
      <w:r>
        <w:t>2024</w:t>
      </w:r>
      <w:r>
        <w:rPr>
          <w:rFonts w:hint="eastAsia"/>
        </w:rPr>
        <w:t>〕</w:t>
      </w:r>
      <w:r>
        <w:t>3</w:t>
      </w:r>
      <w:r>
        <w:rPr>
          <w:rFonts w:hint="eastAsia"/>
        </w:rPr>
        <w:t>号）及相关文件中与本通知内容有冲突的，以本通知规定为准。</w:t>
      </w:r>
    </w:p>
    <w:p w:rsidR="000D16AA" w:rsidRDefault="004203F6" w:rsidP="004203F6">
      <w:pPr>
        <w:spacing w:line="360" w:lineRule="auto"/>
        <w:ind w:leftChars="2200" w:left="4620"/>
        <w:rPr>
          <w:rFonts w:hint="eastAsia"/>
        </w:rPr>
      </w:pPr>
      <w:r>
        <w:t>  2025</w:t>
      </w:r>
      <w:r>
        <w:rPr>
          <w:rFonts w:hint="eastAsia"/>
        </w:rPr>
        <w:t>年</w:t>
      </w:r>
      <w:r>
        <w:t>8</w:t>
      </w:r>
      <w:r>
        <w:rPr>
          <w:rFonts w:hint="eastAsia"/>
        </w:rPr>
        <w:t>月</w:t>
      </w:r>
      <w:r>
        <w:t>26</w:t>
      </w:r>
      <w:r>
        <w:rPr>
          <w:rFonts w:hint="eastAsia"/>
        </w:rPr>
        <w:t>日</w:t>
      </w:r>
    </w:p>
    <w:p w:rsidR="004203F6" w:rsidRDefault="004203F6" w:rsidP="004203F6">
      <w:pPr>
        <w:spacing w:line="360" w:lineRule="auto"/>
        <w:ind w:leftChars="2200" w:left="4620"/>
      </w:pPr>
      <w:r>
        <w:rPr>
          <w:rFonts w:ascii="Segoe UI" w:hAnsi="Segoe UI" w:cs="Segoe UI"/>
          <w:color w:val="222222"/>
          <w:shd w:val="clear" w:color="auto" w:fill="FFFFFF"/>
        </w:rPr>
        <w:t>上海市住房和城乡建设管理</w:t>
      </w:r>
      <w:bookmarkStart w:id="0" w:name="_GoBack"/>
      <w:bookmarkEnd w:id="0"/>
      <w:r>
        <w:rPr>
          <w:rFonts w:ascii="Segoe UI" w:hAnsi="Segoe UI" w:cs="Segoe UI"/>
          <w:color w:val="222222"/>
          <w:shd w:val="clear" w:color="auto" w:fill="FFFFFF"/>
        </w:rPr>
        <w:t>委员会</w:t>
      </w:r>
    </w:p>
    <w:sectPr w:rsidR="004203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ABB" w:rsidRDefault="00D90ABB" w:rsidP="004203F6">
      <w:r>
        <w:separator/>
      </w:r>
    </w:p>
  </w:endnote>
  <w:endnote w:type="continuationSeparator" w:id="0">
    <w:p w:rsidR="00D90ABB" w:rsidRDefault="00D90ABB" w:rsidP="00420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ABB" w:rsidRDefault="00D90ABB" w:rsidP="004203F6">
      <w:r>
        <w:separator/>
      </w:r>
    </w:p>
  </w:footnote>
  <w:footnote w:type="continuationSeparator" w:id="0">
    <w:p w:rsidR="00D90ABB" w:rsidRDefault="00D90ABB" w:rsidP="004203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060992"/>
    <w:multiLevelType w:val="hybridMultilevel"/>
    <w:tmpl w:val="8F948D2A"/>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2C7"/>
    <w:rsid w:val="000D16AA"/>
    <w:rsid w:val="000F7979"/>
    <w:rsid w:val="004203F6"/>
    <w:rsid w:val="007212C7"/>
    <w:rsid w:val="00D90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203F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203F6"/>
    <w:rPr>
      <w:sz w:val="18"/>
      <w:szCs w:val="18"/>
    </w:rPr>
  </w:style>
  <w:style w:type="paragraph" w:styleId="a4">
    <w:name w:val="footer"/>
    <w:basedOn w:val="a"/>
    <w:link w:val="Char0"/>
    <w:uiPriority w:val="99"/>
    <w:unhideWhenUsed/>
    <w:rsid w:val="004203F6"/>
    <w:pPr>
      <w:tabs>
        <w:tab w:val="center" w:pos="4153"/>
        <w:tab w:val="right" w:pos="8306"/>
      </w:tabs>
      <w:snapToGrid w:val="0"/>
      <w:jc w:val="left"/>
    </w:pPr>
    <w:rPr>
      <w:sz w:val="18"/>
      <w:szCs w:val="18"/>
    </w:rPr>
  </w:style>
  <w:style w:type="character" w:customStyle="1" w:styleId="Char0">
    <w:name w:val="页脚 Char"/>
    <w:basedOn w:val="a0"/>
    <w:link w:val="a4"/>
    <w:uiPriority w:val="99"/>
    <w:rsid w:val="004203F6"/>
    <w:rPr>
      <w:sz w:val="18"/>
      <w:szCs w:val="18"/>
    </w:rPr>
  </w:style>
  <w:style w:type="paragraph" w:styleId="a5">
    <w:name w:val="List Paragraph"/>
    <w:basedOn w:val="a"/>
    <w:uiPriority w:val="34"/>
    <w:qFormat/>
    <w:rsid w:val="004203F6"/>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203F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203F6"/>
    <w:rPr>
      <w:sz w:val="18"/>
      <w:szCs w:val="18"/>
    </w:rPr>
  </w:style>
  <w:style w:type="paragraph" w:styleId="a4">
    <w:name w:val="footer"/>
    <w:basedOn w:val="a"/>
    <w:link w:val="Char0"/>
    <w:uiPriority w:val="99"/>
    <w:unhideWhenUsed/>
    <w:rsid w:val="004203F6"/>
    <w:pPr>
      <w:tabs>
        <w:tab w:val="center" w:pos="4153"/>
        <w:tab w:val="right" w:pos="8306"/>
      </w:tabs>
      <w:snapToGrid w:val="0"/>
      <w:jc w:val="left"/>
    </w:pPr>
    <w:rPr>
      <w:sz w:val="18"/>
      <w:szCs w:val="18"/>
    </w:rPr>
  </w:style>
  <w:style w:type="character" w:customStyle="1" w:styleId="Char0">
    <w:name w:val="页脚 Char"/>
    <w:basedOn w:val="a0"/>
    <w:link w:val="a4"/>
    <w:uiPriority w:val="99"/>
    <w:rsid w:val="004203F6"/>
    <w:rPr>
      <w:sz w:val="18"/>
      <w:szCs w:val="18"/>
    </w:rPr>
  </w:style>
  <w:style w:type="paragraph" w:styleId="a5">
    <w:name w:val="List Paragraph"/>
    <w:basedOn w:val="a"/>
    <w:uiPriority w:val="34"/>
    <w:qFormat/>
    <w:rsid w:val="004203F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377</Words>
  <Characters>2150</Characters>
  <Application>Microsoft Office Word</Application>
  <DocSecurity>0</DocSecurity>
  <Lines>17</Lines>
  <Paragraphs>5</Paragraphs>
  <ScaleCrop>false</ScaleCrop>
  <Company>China</Company>
  <LinksUpToDate>false</LinksUpToDate>
  <CharactersWithSpaces>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2025-10-14T05:24:00Z</dcterms:created>
  <dcterms:modified xsi:type="dcterms:W3CDTF">2025-10-14T05:33:00Z</dcterms:modified>
</cp:coreProperties>
</file>