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spacing w:line="299" w:lineRule="auto"/>
        <w:rPr>
          <w:rFonts w:ascii="Arial"/>
          <w:sz w:val="21"/>
        </w:rPr>
      </w:pPr>
      <w:r/>
    </w:p>
    <w:p>
      <w:pPr>
        <w:spacing w:line="300" w:lineRule="auto"/>
        <w:rPr>
          <w:rFonts w:ascii="Arial"/>
          <w:sz w:val="21"/>
        </w:rPr>
      </w:pPr>
      <w:r/>
    </w:p>
    <w:p>
      <w:pPr>
        <w:spacing w:line="300" w:lineRule="auto"/>
        <w:rPr>
          <w:rFonts w:ascii="Arial"/>
          <w:sz w:val="21"/>
        </w:rPr>
      </w:pPr>
      <w:r/>
    </w:p>
    <w:p>
      <w:pPr>
        <w:spacing w:line="300" w:lineRule="auto"/>
        <w:rPr>
          <w:rFonts w:ascii="Arial"/>
          <w:sz w:val="21"/>
        </w:rPr>
      </w:pPr>
      <w:r/>
    </w:p>
    <w:p>
      <w:pPr>
        <w:ind w:left="705"/>
        <w:spacing w:before="139" w:line="223" w:lineRule="auto"/>
        <w:outlineLvl w:val="0"/>
        <w:rPr>
          <w:rFonts w:ascii="SimSun" w:hAnsi="SimSun" w:eastAsia="SimSun" w:cs="SimSun"/>
          <w:sz w:val="43"/>
          <w:szCs w:val="43"/>
        </w:rPr>
      </w:pPr>
      <w:r>
        <w:rPr>
          <w:rFonts w:ascii="SimSun" w:hAnsi="SimSun" w:eastAsia="SimSun" w:cs="SimSun"/>
          <w:sz w:val="43"/>
          <w:szCs w:val="43"/>
          <w:spacing w:val="8"/>
        </w:rPr>
        <w:t>上海市社会公共安全技术防范管理办法</w:t>
      </w:r>
    </w:p>
    <w:p>
      <w:pPr>
        <w:pStyle w:val="BodyText"/>
        <w:ind w:left="12" w:right="8" w:firstLine="672"/>
        <w:spacing w:before="167" w:line="371" w:lineRule="auto"/>
        <w:jc w:val="both"/>
        <w:rPr/>
      </w:pPr>
      <w:r>
        <w:rPr>
          <w:spacing w:val="2"/>
        </w:rPr>
        <w:t>（2001年</w:t>
      </w:r>
      <w:r>
        <w:rPr>
          <w:spacing w:val="-38"/>
        </w:rPr>
        <w:t xml:space="preserve"> </w:t>
      </w:r>
      <w:r>
        <w:rPr>
          <w:spacing w:val="2"/>
        </w:rPr>
        <w:t>1</w:t>
      </w:r>
      <w:r>
        <w:rPr>
          <w:spacing w:val="-46"/>
        </w:rPr>
        <w:t xml:space="preserve"> </w:t>
      </w:r>
      <w:r>
        <w:rPr>
          <w:spacing w:val="2"/>
        </w:rPr>
        <w:t>月</w:t>
      </w:r>
      <w:r>
        <w:rPr>
          <w:spacing w:val="-49"/>
        </w:rPr>
        <w:t xml:space="preserve"> </w:t>
      </w:r>
      <w:r>
        <w:rPr>
          <w:spacing w:val="2"/>
        </w:rPr>
        <w:t>9</w:t>
      </w:r>
      <w:r>
        <w:rPr>
          <w:spacing w:val="2"/>
        </w:rPr>
        <w:t xml:space="preserve"> </w:t>
      </w:r>
      <w:r>
        <w:rPr>
          <w:spacing w:val="2"/>
        </w:rPr>
        <w:t>日上海市人民政府令第</w:t>
      </w:r>
      <w:r>
        <w:rPr>
          <w:spacing w:val="-47"/>
        </w:rPr>
        <w:t xml:space="preserve"> </w:t>
      </w:r>
      <w:r>
        <w:rPr>
          <w:spacing w:val="2"/>
        </w:rPr>
        <w:t>93</w:t>
      </w:r>
      <w:r>
        <w:rPr>
          <w:spacing w:val="-56"/>
        </w:rPr>
        <w:t xml:space="preserve"> </w:t>
      </w:r>
      <w:r>
        <w:rPr>
          <w:spacing w:val="2"/>
        </w:rPr>
        <w:t>号发布</w:t>
      </w:r>
      <w:r>
        <w:rPr>
          <w:spacing w:val="2"/>
        </w:rPr>
        <w:t xml:space="preserve">  </w:t>
      </w:r>
      <w:r>
        <w:rPr>
          <w:spacing w:val="2"/>
        </w:rPr>
        <w:t>根据</w:t>
      </w:r>
      <w:r>
        <w:rPr/>
        <w:t xml:space="preserve"> </w:t>
      </w:r>
      <w:r>
        <w:rPr/>
        <w:t>2002</w:t>
      </w:r>
      <w:r>
        <w:rPr>
          <w:spacing w:val="-61"/>
        </w:rPr>
        <w:t xml:space="preserve"> </w:t>
      </w:r>
      <w:r>
        <w:rPr/>
        <w:t>年</w:t>
      </w:r>
      <w:r>
        <w:rPr>
          <w:spacing w:val="-43"/>
        </w:rPr>
        <w:t xml:space="preserve"> </w:t>
      </w:r>
      <w:r>
        <w:rPr/>
        <w:t>11</w:t>
      </w:r>
      <w:r>
        <w:rPr>
          <w:spacing w:val="-47"/>
        </w:rPr>
        <w:t xml:space="preserve"> </w:t>
      </w:r>
      <w:r>
        <w:rPr/>
        <w:t>月</w:t>
      </w:r>
      <w:r>
        <w:rPr>
          <w:spacing w:val="-44"/>
        </w:rPr>
        <w:t xml:space="preserve"> </w:t>
      </w:r>
      <w:r>
        <w:rPr/>
        <w:t>18</w:t>
      </w:r>
      <w:r>
        <w:rPr/>
        <w:t xml:space="preserve"> </w:t>
      </w:r>
      <w:r>
        <w:rPr/>
        <w:t>日上海市人民政府令第</w:t>
      </w:r>
      <w:r>
        <w:rPr>
          <w:spacing w:val="-42"/>
        </w:rPr>
        <w:t xml:space="preserve"> </w:t>
      </w:r>
      <w:r>
        <w:rPr/>
        <w:t>128</w:t>
      </w:r>
      <w:r>
        <w:rPr>
          <w:spacing w:val="-56"/>
        </w:rPr>
        <w:t xml:space="preserve"> </w:t>
      </w:r>
      <w:r>
        <w:rPr/>
        <w:t>号修正</w:t>
      </w:r>
      <w:r>
        <w:rPr>
          <w:spacing w:val="-1"/>
        </w:rPr>
        <w:t xml:space="preserve">  </w:t>
      </w:r>
      <w:r>
        <w:rPr>
          <w:spacing w:val="-1"/>
        </w:rPr>
        <w:t>根据</w:t>
      </w:r>
      <w:r>
        <w:rPr>
          <w:spacing w:val="-51"/>
        </w:rPr>
        <w:t xml:space="preserve"> </w:t>
      </w:r>
      <w:r>
        <w:rPr>
          <w:spacing w:val="-1"/>
        </w:rPr>
        <w:t>2010</w:t>
      </w:r>
      <w:r>
        <w:rPr>
          <w:spacing w:val="1"/>
        </w:rPr>
        <w:t>年</w:t>
      </w:r>
      <w:r>
        <w:rPr>
          <w:spacing w:val="-32"/>
        </w:rPr>
        <w:t xml:space="preserve"> </w:t>
      </w:r>
      <w:r>
        <w:rPr>
          <w:spacing w:val="1"/>
        </w:rPr>
        <w:t>12</w:t>
      </w:r>
      <w:r>
        <w:rPr>
          <w:spacing w:val="-47"/>
        </w:rPr>
        <w:t xml:space="preserve"> </w:t>
      </w:r>
      <w:r>
        <w:rPr>
          <w:spacing w:val="1"/>
        </w:rPr>
        <w:t>月</w:t>
      </w:r>
      <w:r>
        <w:rPr>
          <w:spacing w:val="-51"/>
        </w:rPr>
        <w:t xml:space="preserve"> </w:t>
      </w:r>
      <w:r>
        <w:rPr>
          <w:spacing w:val="1"/>
        </w:rPr>
        <w:t>20</w:t>
      </w:r>
      <w:r>
        <w:rPr>
          <w:spacing w:val="1"/>
        </w:rPr>
        <w:t xml:space="preserve"> </w:t>
      </w:r>
      <w:r>
        <w:rPr>
          <w:spacing w:val="1"/>
        </w:rPr>
        <w:t>日上海市人民政府令第</w:t>
      </w:r>
      <w:r>
        <w:rPr>
          <w:spacing w:val="-46"/>
        </w:rPr>
        <w:t xml:space="preserve"> </w:t>
      </w:r>
      <w:r>
        <w:rPr>
          <w:spacing w:val="1"/>
        </w:rPr>
        <w:t>52</w:t>
      </w:r>
      <w:r>
        <w:rPr>
          <w:spacing w:val="-55"/>
        </w:rPr>
        <w:t xml:space="preserve"> </w:t>
      </w:r>
      <w:r>
        <w:rPr>
          <w:spacing w:val="1"/>
        </w:rPr>
        <w:t>号公布的《上海市人民政</w:t>
      </w:r>
      <w:r>
        <w:rPr>
          <w:spacing w:val="3"/>
        </w:rPr>
        <w:t>府关于修改〈上海市农机事故处理暂行规定〉等</w:t>
      </w:r>
      <w:r>
        <w:rPr>
          <w:spacing w:val="-26"/>
        </w:rPr>
        <w:t xml:space="preserve"> </w:t>
      </w:r>
      <w:r>
        <w:rPr>
          <w:spacing w:val="3"/>
        </w:rPr>
        <w:t>148</w:t>
      </w:r>
      <w:r>
        <w:rPr>
          <w:spacing w:val="-63"/>
        </w:rPr>
        <w:t xml:space="preserve"> </w:t>
      </w:r>
      <w:r>
        <w:rPr>
          <w:spacing w:val="3"/>
        </w:rPr>
        <w:t>件市政府规</w:t>
      </w:r>
      <w:r>
        <w:rPr>
          <w:spacing w:val="7"/>
        </w:rPr>
        <w:t>章的决定》修正并重新发布）</w:t>
      </w:r>
    </w:p>
    <w:p>
      <w:pPr>
        <w:spacing w:line="261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ind w:left="690"/>
        <w:spacing w:before="101" w:line="224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7"/>
        </w:rPr>
        <w:t>第一条</w:t>
      </w:r>
      <w:r>
        <w:rPr>
          <w:rFonts w:ascii="FangSong" w:hAnsi="FangSong" w:eastAsia="FangSong" w:cs="FangSong"/>
          <w:sz w:val="31"/>
          <w:szCs w:val="31"/>
          <w:spacing w:val="7"/>
        </w:rPr>
        <w:t>（目的依据）</w:t>
      </w:r>
    </w:p>
    <w:p>
      <w:pPr>
        <w:ind w:left="17" w:right="10" w:firstLine="683"/>
        <w:spacing w:before="246" w:line="372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3"/>
        </w:rPr>
        <w:t>为了加强本市社会公共安全技术防范管理，保障公私财产和</w:t>
      </w:r>
      <w:r>
        <w:rPr>
          <w:rFonts w:ascii="FangSong" w:hAnsi="FangSong" w:eastAsia="FangSong" w:cs="FangSong"/>
          <w:sz w:val="31"/>
          <w:szCs w:val="31"/>
          <w:spacing w:val="5"/>
        </w:rPr>
        <w:t>公民人身安全，制定本办法。</w:t>
      </w:r>
    </w:p>
    <w:p>
      <w:pPr>
        <w:ind w:left="690"/>
        <w:spacing w:before="1" w:line="223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7"/>
        </w:rPr>
        <w:t>第二条</w:t>
      </w:r>
      <w:r>
        <w:rPr>
          <w:rFonts w:ascii="FangSong" w:hAnsi="FangSong" w:eastAsia="FangSong" w:cs="FangSong"/>
          <w:sz w:val="31"/>
          <w:szCs w:val="31"/>
          <w:spacing w:val="7"/>
        </w:rPr>
        <w:t>（概念）</w:t>
      </w:r>
    </w:p>
    <w:p>
      <w:pPr>
        <w:ind w:left="8" w:right="8" w:firstLine="681"/>
        <w:spacing w:before="247" w:line="372" w:lineRule="auto"/>
        <w:jc w:val="both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3"/>
        </w:rPr>
        <w:t>本办法所称社会公共安全技术防范（以下简称技术防范）是</w:t>
      </w:r>
      <w:r>
        <w:rPr>
          <w:rFonts w:ascii="FangSong" w:hAnsi="FangSong" w:eastAsia="FangSong" w:cs="FangSong"/>
          <w:sz w:val="31"/>
          <w:szCs w:val="31"/>
          <w:spacing w:val="5"/>
        </w:rPr>
        <w:t>指：运用科学技术手段，预防、制止、延缓盗窃、抢劫、非法入</w:t>
      </w:r>
      <w:r>
        <w:rPr>
          <w:rFonts w:ascii="FangSong" w:hAnsi="FangSong" w:eastAsia="FangSong" w:cs="FangSong"/>
          <w:sz w:val="31"/>
          <w:szCs w:val="31"/>
          <w:spacing w:val="8"/>
        </w:rPr>
        <w:t>侵、破坏、爆炸等违法犯罪行为，维护社会公共安全的活动。</w:t>
      </w:r>
    </w:p>
    <w:p>
      <w:pPr>
        <w:ind w:left="18" w:right="8" w:firstLine="671"/>
        <w:spacing w:before="3" w:line="371" w:lineRule="auto"/>
        <w:jc w:val="both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3"/>
        </w:rPr>
        <w:t>本办法所称社会公共安全技术防范产品（以下简称技术防范</w:t>
      </w:r>
      <w:r>
        <w:rPr>
          <w:rFonts w:ascii="FangSong" w:hAnsi="FangSong" w:eastAsia="FangSong" w:cs="FangSong"/>
          <w:sz w:val="31"/>
          <w:szCs w:val="31"/>
          <w:spacing w:val="5"/>
        </w:rPr>
        <w:t>产品）是指：用于技术防范活动，具有入侵探测、防盗报警、出</w:t>
      </w:r>
      <w:r>
        <w:rPr>
          <w:rFonts w:ascii="FangSong" w:hAnsi="FangSong" w:eastAsia="FangSong" w:cs="FangSong"/>
          <w:sz w:val="31"/>
          <w:szCs w:val="31"/>
          <w:spacing w:val="5"/>
        </w:rPr>
        <w:t>入口控制、安全检查等功能的专用设备。</w:t>
      </w:r>
    </w:p>
    <w:p>
      <w:pPr>
        <w:spacing w:line="371" w:lineRule="auto"/>
        <w:sectPr>
          <w:headerReference w:type="default" r:id="rId1"/>
          <w:footerReference w:type="default" r:id="rId2"/>
          <w:pgSz w:w="11907" w:h="16839"/>
          <w:pgMar w:top="1955" w:right="1470" w:bottom="2497" w:left="1581" w:header="1276" w:footer="1363" w:gutter="0"/>
        </w:sectPr>
        <w:rPr>
          <w:rFonts w:ascii="FangSong" w:hAnsi="FangSong" w:eastAsia="FangSong" w:cs="FangSong"/>
          <w:sz w:val="31"/>
          <w:szCs w:val="31"/>
        </w:rPr>
      </w:pPr>
    </w:p>
    <w:p>
      <w:pPr>
        <w:ind w:left="20" w:right="66" w:firstLine="669"/>
        <w:spacing w:before="161" w:line="371" w:lineRule="auto"/>
        <w:jc w:val="both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3"/>
        </w:rPr>
        <w:t>本办法所称社会公共安全技术防范工程（以下简称技术防范</w:t>
      </w:r>
      <w:r>
        <w:rPr>
          <w:rFonts w:ascii="FangSong" w:hAnsi="FangSong" w:eastAsia="FangSong" w:cs="FangSong"/>
          <w:sz w:val="31"/>
          <w:szCs w:val="31"/>
          <w:spacing w:val="5"/>
        </w:rPr>
        <w:t>工程）是指：运用技术防范产品和其他相关产品所组成的安全技</w:t>
      </w:r>
      <w:r>
        <w:rPr>
          <w:rFonts w:ascii="FangSong" w:hAnsi="FangSong" w:eastAsia="FangSong" w:cs="FangSong"/>
          <w:sz w:val="31"/>
          <w:szCs w:val="31"/>
          <w:spacing w:val="-1"/>
        </w:rPr>
        <w:t>术防范系统。</w:t>
      </w:r>
    </w:p>
    <w:p>
      <w:pPr>
        <w:ind w:left="690"/>
        <w:spacing w:line="224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7"/>
        </w:rPr>
        <w:t>第三条</w:t>
      </w:r>
      <w:r>
        <w:rPr>
          <w:rFonts w:ascii="FangSong" w:hAnsi="FangSong" w:eastAsia="FangSong" w:cs="FangSong"/>
          <w:sz w:val="31"/>
          <w:szCs w:val="31"/>
          <w:spacing w:val="7"/>
        </w:rPr>
        <w:t>（适用范围）</w:t>
      </w:r>
    </w:p>
    <w:p>
      <w:pPr>
        <w:ind w:left="20" w:right="23" w:firstLine="669"/>
        <w:spacing w:before="246" w:line="372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-4"/>
        </w:rPr>
        <w:t>本市行政区域范围内技术防范产品的安装、维修、使用，</w:t>
      </w:r>
      <w:r>
        <w:rPr>
          <w:rFonts w:ascii="FangSong" w:hAnsi="FangSong" w:eastAsia="FangSong" w:cs="FangSong"/>
          <w:sz w:val="31"/>
          <w:szCs w:val="31"/>
          <w:spacing w:val="45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-4"/>
        </w:rPr>
        <w:t>技</w:t>
      </w:r>
      <w:r>
        <w:rPr>
          <w:rFonts w:ascii="FangSong" w:hAnsi="FangSong" w:eastAsia="FangSong" w:cs="FangSong"/>
          <w:sz w:val="31"/>
          <w:szCs w:val="31"/>
          <w:spacing w:val="7"/>
        </w:rPr>
        <w:t>术防范工程的设计、施工、维修、使用及其</w:t>
      </w:r>
      <w:r>
        <w:rPr>
          <w:rFonts w:ascii="FangSong" w:hAnsi="FangSong" w:eastAsia="FangSong" w:cs="FangSong"/>
          <w:sz w:val="31"/>
          <w:szCs w:val="31"/>
          <w:spacing w:val="6"/>
        </w:rPr>
        <w:t>管理，适用本办法。</w:t>
      </w:r>
    </w:p>
    <w:p>
      <w:pPr>
        <w:ind w:left="690"/>
        <w:spacing w:line="223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7"/>
        </w:rPr>
        <w:t>第四条</w:t>
      </w:r>
      <w:r>
        <w:rPr>
          <w:rFonts w:ascii="FangSong" w:hAnsi="FangSong" w:eastAsia="FangSong" w:cs="FangSong"/>
          <w:sz w:val="31"/>
          <w:szCs w:val="31"/>
          <w:spacing w:val="7"/>
        </w:rPr>
        <w:t>（主管与协管）</w:t>
      </w:r>
    </w:p>
    <w:p>
      <w:pPr>
        <w:ind w:left="22" w:right="63" w:firstLine="675"/>
        <w:spacing w:before="251" w:line="371" w:lineRule="auto"/>
        <w:jc w:val="both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3"/>
        </w:rPr>
        <w:t>上海市公安局（以下简称市公安局）是本市技术防范管理工</w:t>
      </w:r>
      <w:r>
        <w:rPr>
          <w:rFonts w:ascii="FangSong" w:hAnsi="FangSong" w:eastAsia="FangSong" w:cs="FangSong"/>
          <w:sz w:val="31"/>
          <w:szCs w:val="31"/>
          <w:spacing w:val="5"/>
        </w:rPr>
        <w:t>作的行政主管部门。区、县公安部门在其职责范围内，负责本辖</w:t>
      </w:r>
      <w:r>
        <w:rPr>
          <w:rFonts w:ascii="FangSong" w:hAnsi="FangSong" w:eastAsia="FangSong" w:cs="FangSong"/>
          <w:sz w:val="31"/>
          <w:szCs w:val="31"/>
          <w:spacing w:val="7"/>
        </w:rPr>
        <w:t>区内的技术防范管理工作。</w:t>
      </w:r>
    </w:p>
    <w:p>
      <w:pPr>
        <w:ind w:left="15" w:firstLine="682"/>
        <w:spacing w:before="3" w:line="371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6"/>
        </w:rPr>
        <w:t>工商、建设、质量技术监督等行政管理部门按照各自职</w:t>
      </w:r>
      <w:r>
        <w:rPr>
          <w:rFonts w:ascii="FangSong" w:hAnsi="FangSong" w:eastAsia="FangSong" w:cs="FangSong"/>
          <w:sz w:val="31"/>
          <w:szCs w:val="31"/>
          <w:spacing w:val="5"/>
        </w:rPr>
        <w:t>责，</w:t>
      </w:r>
      <w:r>
        <w:rPr>
          <w:rFonts w:ascii="FangSong" w:hAnsi="FangSong" w:eastAsia="FangSong" w:cs="FangSong"/>
          <w:sz w:val="31"/>
          <w:szCs w:val="31"/>
          <w:spacing w:val="3"/>
        </w:rPr>
        <w:t>做好技术防范管理工作。</w:t>
      </w:r>
    </w:p>
    <w:p>
      <w:pPr>
        <w:ind w:left="690"/>
        <w:spacing w:before="1" w:line="223" w:lineRule="auto"/>
        <w:rPr>
          <w:rFonts w:ascii="FangSong" w:hAnsi="FangSong" w:eastAsia="FangSong" w:cs="FangSong"/>
          <w:sz w:val="31"/>
          <w:szCs w:val="31"/>
        </w:rPr>
      </w:pPr>
      <w:r>
        <mc:AlternateContent xmlns:mc="http://schemas.openxmlformats.org/markup-compatibility/2006">
          <mc:Choice Requires="wps">
            <w:drawing>
              <wp:anchor distT="0" distB="0" distL="0" distR="0" simplePos="0" relativeHeight="251658240" behindDoc="1" locked="0" layoutInCell="1" allowOverlap="1">
                <wp:simplePos x="0" y="0"/>
                <wp:positionH relativeFrom="column">
                  <wp:posOffset>430402</wp:posOffset>
                </wp:positionH>
                <wp:positionV relativeFrom="paragraph">
                  <wp:posOffset>752</wp:posOffset>
                </wp:positionV>
                <wp:extent cx="3046095" cy="203200"/>
                <wp:effectExtent l="0" t="0" r="0" b="0"/>
                <wp:wrapNone/>
                <wp:docPr id="6" name="Rect 6"/>
                <wp:cNvGraphicFramePr/>
                <a:graphic>
                  <a:graphicData uri="http://schemas.microsoft.com/office/word/2010/wordprocessingShape">
                    <wps:wsp>
                      <wps:cNvPr id="6" name="Rect 6"/>
                      <wps:cNvSpPr/>
                      <wps:spPr>
                        <a:xfrm>
                          <a:off x="430402" y="752"/>
                          <a:ext cx="3046095" cy="203200"/>
                        </a:xfrm>
                        <a:prstGeom prst="rect">
                          <a:avLst/>
                        </a:prstGeom>
                        <a:solidFill>
                          <a:srgbClr val="FF6200">
                            <a:alpha val="39607"/>
                          </a:srgbClr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" style="position:absolute;margin-left:33.89pt;margin-top:0.059263pt;mso-position-vertical-relative:text;mso-position-horizontal-relative:text;width:239.85pt;height:16pt;z-index:-251658240;" fillcolor="#FF6200" filled="true" stroked="false">
                <v:fill opacity="0.396078"/>
              </v:rect>
            </w:pict>
          </mc:Fallback>
        </mc:AlternateContent>
      </w:r>
      <w:r>
        <w:rPr>
          <w:rFonts w:ascii="SimHei" w:hAnsi="SimHei" w:eastAsia="SimHei" w:cs="SimHei"/>
          <w:sz w:val="31"/>
          <w:szCs w:val="31"/>
          <w:spacing w:val="8"/>
        </w:rPr>
        <w:t>第五条</w:t>
      </w:r>
      <w:r>
        <w:rPr>
          <w:rFonts w:ascii="FangSong" w:hAnsi="FangSong" w:eastAsia="FangSong" w:cs="FangSong"/>
          <w:sz w:val="31"/>
          <w:szCs w:val="31"/>
          <w:spacing w:val="8"/>
        </w:rPr>
        <w:t>（配建技术防范工程范围）</w:t>
      </w:r>
    </w:p>
    <w:p>
      <w:pPr>
        <w:ind w:left="703"/>
        <w:spacing w:before="249" w:line="223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3"/>
        </w:rPr>
        <w:t>下列场所和部位应当采取技术防范措施：</w:t>
      </w:r>
    </w:p>
    <w:p>
      <w:pPr>
        <w:ind w:left="682"/>
        <w:spacing w:before="249" w:line="221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2"/>
        </w:rPr>
        <w:t>（</w:t>
      </w:r>
      <w:r>
        <w:rPr>
          <w:rFonts w:ascii="FangSong" w:hAnsi="FangSong" w:eastAsia="FangSong" w:cs="FangSong"/>
          <w:sz w:val="31"/>
          <w:szCs w:val="31"/>
          <w:spacing w:val="-67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2"/>
        </w:rPr>
        <w:t>一）枪支弹药、爆炸物品的生产、存放场所；</w:t>
      </w:r>
    </w:p>
    <w:p>
      <w:pPr>
        <w:ind w:left="682"/>
        <w:spacing w:before="254" w:line="222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7"/>
        </w:rPr>
        <w:t>（二）广播、电视、电信单位的要害场所或者部位；</w:t>
      </w:r>
    </w:p>
    <w:p>
      <w:pPr>
        <w:ind w:left="682"/>
        <w:spacing w:before="251" w:line="221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5"/>
        </w:rPr>
        <w:t>（三）集中存放重要档案资料的馆、库；</w:t>
      </w:r>
    </w:p>
    <w:p>
      <w:pPr>
        <w:ind w:left="682"/>
        <w:spacing w:before="253" w:line="221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5"/>
        </w:rPr>
        <w:t>（四）存放重要计算机数据库的场所；</w:t>
      </w:r>
    </w:p>
    <w:p>
      <w:pPr>
        <w:ind w:left="682"/>
        <w:spacing w:before="253" w:line="221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6"/>
        </w:rPr>
        <w:t>（五）金银等贵重金属、珠宝的加工、储存、经销场所；</w:t>
      </w:r>
    </w:p>
    <w:p>
      <w:pPr>
        <w:spacing w:line="221" w:lineRule="auto"/>
        <w:sectPr>
          <w:headerReference w:type="default" r:id="rId3"/>
          <w:footerReference w:type="default" r:id="rId4"/>
          <w:pgSz w:w="11907" w:h="16839"/>
          <w:pgMar w:top="1955" w:right="1412" w:bottom="2497" w:left="1581" w:header="1276" w:footer="1363" w:gutter="0"/>
        </w:sectPr>
        <w:rPr>
          <w:rFonts w:ascii="FangSong" w:hAnsi="FangSong" w:eastAsia="FangSong" w:cs="FangSong"/>
          <w:sz w:val="31"/>
          <w:szCs w:val="31"/>
        </w:rPr>
      </w:pPr>
    </w:p>
    <w:p>
      <w:pPr>
        <w:ind w:left="35" w:right="51" w:firstLine="646"/>
        <w:spacing w:before="159" w:line="370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4"/>
        </w:rPr>
        <w:t>（六）货币、有价证券的制造、存放场所和金融营业以及金</w:t>
      </w:r>
      <w:r>
        <w:rPr>
          <w:rFonts w:ascii="FangSong" w:hAnsi="FangSong" w:eastAsia="FangSong" w:cs="FangSong"/>
          <w:sz w:val="31"/>
          <w:szCs w:val="31"/>
          <w:spacing w:val="6"/>
        </w:rPr>
        <w:t>融信息运行、存储等场所；</w:t>
      </w:r>
    </w:p>
    <w:p>
      <w:pPr>
        <w:ind w:left="28" w:right="75" w:firstLine="654"/>
        <w:spacing w:before="2" w:line="372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3"/>
        </w:rPr>
        <w:t>（七）博物馆、展览馆、文物店等集中陈列、存放、经销文</w:t>
      </w:r>
      <w:r>
        <w:rPr>
          <w:rFonts w:ascii="FangSong" w:hAnsi="FangSong" w:eastAsia="FangSong" w:cs="FangSong"/>
          <w:sz w:val="31"/>
          <w:szCs w:val="31"/>
          <w:spacing w:val="3"/>
        </w:rPr>
        <w:t>物、珍宝和贵重物品的场所；</w:t>
      </w:r>
    </w:p>
    <w:p>
      <w:pPr>
        <w:ind w:left="19" w:right="81" w:firstLine="662"/>
        <w:spacing w:before="2" w:line="371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3"/>
        </w:rPr>
        <w:t>（八）剧毒物品、放射性物品和致病性细菌、病毒的集</w:t>
      </w:r>
      <w:r>
        <w:rPr>
          <w:rFonts w:ascii="FangSong" w:hAnsi="FangSong" w:eastAsia="FangSong" w:cs="FangSong"/>
          <w:sz w:val="31"/>
          <w:szCs w:val="31"/>
          <w:spacing w:val="2"/>
        </w:rPr>
        <w:t>中存</w:t>
      </w:r>
      <w:r>
        <w:rPr>
          <w:rFonts w:ascii="FangSong" w:hAnsi="FangSong" w:eastAsia="FangSong" w:cs="FangSong"/>
          <w:sz w:val="31"/>
          <w:szCs w:val="31"/>
          <w:spacing w:val="-13"/>
        </w:rPr>
        <w:t>放场所；</w:t>
      </w:r>
    </w:p>
    <w:p>
      <w:pPr>
        <w:spacing w:before="1" w:line="222" w:lineRule="auto"/>
        <w:jc w:val="right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6"/>
        </w:rPr>
        <w:t>（九）星级饭店、高级商务楼及大型活动场所的重要部位；</w:t>
      </w:r>
    </w:p>
    <w:p>
      <w:pPr>
        <w:ind w:left="17" w:right="90" w:firstLine="665"/>
        <w:spacing w:before="249" w:line="372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2"/>
        </w:rPr>
        <w:t>（十）国家和市人民政府规定应当采取技术防范措施的其他</w:t>
      </w:r>
      <w:r>
        <w:rPr>
          <w:rFonts w:ascii="FangSong" w:hAnsi="FangSong" w:eastAsia="FangSong" w:cs="FangSong"/>
          <w:sz w:val="31"/>
          <w:szCs w:val="31"/>
        </w:rPr>
        <w:t>场所和部位。</w:t>
      </w:r>
    </w:p>
    <w:p>
      <w:pPr>
        <w:ind w:left="690"/>
        <w:spacing w:before="1" w:line="223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8"/>
        </w:rPr>
        <w:t>第六条</w:t>
      </w:r>
      <w:r>
        <w:rPr>
          <w:rFonts w:ascii="FangSong" w:hAnsi="FangSong" w:eastAsia="FangSong" w:cs="FangSong"/>
          <w:sz w:val="31"/>
          <w:szCs w:val="31"/>
          <w:spacing w:val="8"/>
        </w:rPr>
        <w:t>（技术防范产品管理）</w:t>
      </w:r>
    </w:p>
    <w:p>
      <w:pPr>
        <w:ind w:left="19" w:right="57" w:firstLine="670"/>
        <w:spacing w:before="250" w:line="371" w:lineRule="auto"/>
        <w:jc w:val="both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3"/>
        </w:rPr>
        <w:t>本市产品的质量监督由上海市质量技术监督局（以下简称市</w:t>
      </w:r>
      <w:r>
        <w:rPr>
          <w:rFonts w:ascii="FangSong" w:hAnsi="FangSong" w:eastAsia="FangSong" w:cs="FangSong"/>
          <w:sz w:val="31"/>
          <w:szCs w:val="31"/>
          <w:spacing w:val="5"/>
        </w:rPr>
        <w:t>质量技监局）负责。本市技术防范产品的质量监督管理由市公安</w:t>
      </w:r>
      <w:r>
        <w:rPr>
          <w:rFonts w:ascii="FangSong" w:hAnsi="FangSong" w:eastAsia="FangSong" w:cs="FangSong"/>
          <w:sz w:val="31"/>
          <w:szCs w:val="31"/>
          <w:spacing w:val="8"/>
        </w:rPr>
        <w:t>局在市质量技监局的指导下实施。</w:t>
      </w:r>
    </w:p>
    <w:p>
      <w:pPr>
        <w:ind w:left="25" w:right="56" w:firstLine="671"/>
        <w:spacing w:before="1" w:line="372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3"/>
        </w:rPr>
        <w:t>从事公共安全防范工程设计施工的单位，应当事先报经市公</w:t>
      </w:r>
      <w:r>
        <w:rPr>
          <w:rFonts w:ascii="FangSong" w:hAnsi="FangSong" w:eastAsia="FangSong" w:cs="FangSong"/>
          <w:sz w:val="31"/>
          <w:szCs w:val="31"/>
          <w:spacing w:val="3"/>
        </w:rPr>
        <w:t>安局核准。</w:t>
      </w:r>
    </w:p>
    <w:p>
      <w:pPr>
        <w:ind w:left="690"/>
        <w:spacing w:before="1" w:line="223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8"/>
        </w:rPr>
        <w:t>第七条</w:t>
      </w:r>
      <w:r>
        <w:rPr>
          <w:rFonts w:ascii="FangSong" w:hAnsi="FangSong" w:eastAsia="FangSong" w:cs="FangSong"/>
          <w:sz w:val="31"/>
          <w:szCs w:val="31"/>
          <w:spacing w:val="8"/>
        </w:rPr>
        <w:t>（技术防范工程产品的标准）</w:t>
      </w:r>
    </w:p>
    <w:p>
      <w:pPr>
        <w:ind w:left="17" w:right="20" w:firstLine="677"/>
        <w:spacing w:before="247" w:line="372" w:lineRule="auto"/>
        <w:jc w:val="both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16"/>
        </w:rPr>
        <w:t>技术防范工程中使用的技术防范产品应当符</w:t>
      </w:r>
      <w:r>
        <w:rPr>
          <w:rFonts w:ascii="FangSong" w:hAnsi="FangSong" w:eastAsia="FangSong" w:cs="FangSong"/>
          <w:sz w:val="31"/>
          <w:szCs w:val="31"/>
          <w:spacing w:val="15"/>
        </w:rPr>
        <w:t>合国家标准或</w:t>
      </w:r>
      <w:r>
        <w:rPr>
          <w:rFonts w:ascii="FangSong" w:hAnsi="FangSong" w:eastAsia="FangSong" w:cs="FangSong"/>
          <w:sz w:val="31"/>
          <w:szCs w:val="31"/>
          <w:spacing w:val="5"/>
        </w:rPr>
        <w:t>者行业标准；无国家标准、行业标准的，由市质量技监局会同市</w:t>
      </w:r>
      <w:r>
        <w:rPr>
          <w:rFonts w:ascii="FangSong" w:hAnsi="FangSong" w:eastAsia="FangSong" w:cs="FangSong"/>
          <w:sz w:val="31"/>
          <w:szCs w:val="31"/>
          <w:spacing w:val="6"/>
        </w:rPr>
        <w:t>公安局制定地方标准；无国家标准、行业标准或者地方标准的，</w:t>
      </w:r>
    </w:p>
    <w:p>
      <w:pPr>
        <w:spacing w:line="372" w:lineRule="auto"/>
        <w:sectPr>
          <w:headerReference w:type="default" r:id="rId5"/>
          <w:footerReference w:type="default" r:id="rId6"/>
          <w:pgSz w:w="11907" w:h="16839"/>
          <w:pgMar w:top="1955" w:right="1423" w:bottom="2497" w:left="1581" w:header="1276" w:footer="1363" w:gutter="0"/>
        </w:sectPr>
        <w:rPr>
          <w:rFonts w:ascii="FangSong" w:hAnsi="FangSong" w:eastAsia="FangSong" w:cs="FangSong"/>
          <w:sz w:val="31"/>
          <w:szCs w:val="31"/>
        </w:rPr>
      </w:pPr>
    </w:p>
    <w:p>
      <w:pPr>
        <w:ind w:left="20"/>
        <w:spacing w:before="161" w:line="222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7"/>
        </w:rPr>
        <w:t>企业应当制定企业标准。不符合标准的产品，不得安装使用。</w:t>
      </w:r>
    </w:p>
    <w:p>
      <w:pPr>
        <w:ind w:left="690"/>
        <w:spacing w:before="247" w:line="224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8"/>
        </w:rPr>
        <w:t>第八条</w:t>
      </w:r>
      <w:r>
        <w:rPr>
          <w:rFonts w:ascii="FangSong" w:hAnsi="FangSong" w:eastAsia="FangSong" w:cs="FangSong"/>
          <w:sz w:val="31"/>
          <w:szCs w:val="31"/>
          <w:spacing w:val="8"/>
        </w:rPr>
        <w:t>（技术防范工程的标准和规范）</w:t>
      </w:r>
    </w:p>
    <w:p>
      <w:pPr>
        <w:ind w:left="24" w:right="72" w:firstLine="669"/>
        <w:spacing w:before="247" w:line="372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3"/>
        </w:rPr>
        <w:t>技术防范工程的设计、施工、验收和维修，应当按照国家标</w:t>
      </w:r>
      <w:r>
        <w:rPr>
          <w:rFonts w:ascii="FangSong" w:hAnsi="FangSong" w:eastAsia="FangSong" w:cs="FangSong"/>
          <w:sz w:val="31"/>
          <w:szCs w:val="31"/>
          <w:spacing w:val="8"/>
        </w:rPr>
        <w:t>准、行业标准、地方标准和有关规范执行。</w:t>
      </w:r>
    </w:p>
    <w:p>
      <w:pPr>
        <w:ind w:left="690"/>
        <w:spacing w:line="223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8"/>
        </w:rPr>
        <w:t>第九条</w:t>
      </w:r>
      <w:r>
        <w:rPr>
          <w:rFonts w:ascii="FangSong" w:hAnsi="FangSong" w:eastAsia="FangSong" w:cs="FangSong"/>
          <w:sz w:val="31"/>
          <w:szCs w:val="31"/>
          <w:spacing w:val="8"/>
        </w:rPr>
        <w:t>（技术防范工程的建筑设计）</w:t>
      </w:r>
    </w:p>
    <w:p>
      <w:pPr>
        <w:ind w:left="18" w:right="75" w:firstLine="671"/>
        <w:spacing w:before="247" w:line="372" w:lineRule="auto"/>
        <w:jc w:val="both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16"/>
        </w:rPr>
        <w:t>本市技术防范工程建筑设计规范由市建设行政主管部</w:t>
      </w:r>
      <w:r>
        <w:rPr>
          <w:rFonts w:ascii="FangSong" w:hAnsi="FangSong" w:eastAsia="FangSong" w:cs="FangSong"/>
          <w:sz w:val="31"/>
          <w:szCs w:val="31"/>
          <w:spacing w:val="15"/>
        </w:rPr>
        <w:t>门会</w:t>
      </w:r>
      <w:r>
        <w:rPr>
          <w:rFonts w:ascii="FangSong" w:hAnsi="FangSong" w:eastAsia="FangSong" w:cs="FangSong"/>
          <w:sz w:val="31"/>
          <w:szCs w:val="31"/>
          <w:spacing w:val="5"/>
        </w:rPr>
        <w:t>同市公安局制定，并纳入本市建设工程设计规范。设计部门在进</w:t>
      </w:r>
      <w:r>
        <w:rPr>
          <w:rFonts w:ascii="FangSong" w:hAnsi="FangSong" w:eastAsia="FangSong" w:cs="FangSong"/>
          <w:sz w:val="31"/>
          <w:szCs w:val="31"/>
          <w:spacing w:val="7"/>
        </w:rPr>
        <w:t>行建筑设计时，应当遵守技术防范工程建筑设</w:t>
      </w:r>
      <w:r>
        <w:rPr>
          <w:rFonts w:ascii="FangSong" w:hAnsi="FangSong" w:eastAsia="FangSong" w:cs="FangSong"/>
          <w:sz w:val="31"/>
          <w:szCs w:val="31"/>
          <w:spacing w:val="6"/>
        </w:rPr>
        <w:t>计规范。</w:t>
      </w:r>
    </w:p>
    <w:p>
      <w:pPr>
        <w:ind w:left="690"/>
        <w:spacing w:before="1" w:line="223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8"/>
        </w:rPr>
        <w:t>第十条</w:t>
      </w:r>
      <w:r>
        <w:rPr>
          <w:rFonts w:ascii="FangSong" w:hAnsi="FangSong" w:eastAsia="FangSong" w:cs="FangSong"/>
          <w:sz w:val="31"/>
          <w:szCs w:val="31"/>
          <w:spacing w:val="8"/>
        </w:rPr>
        <w:t>（技术防范工程的使用）</w:t>
      </w:r>
    </w:p>
    <w:p>
      <w:pPr>
        <w:ind w:left="18" w:right="76" w:firstLine="668"/>
        <w:spacing w:before="247" w:line="372" w:lineRule="auto"/>
        <w:jc w:val="both"/>
        <w:rPr>
          <w:rFonts w:ascii="FangSong" w:hAnsi="FangSong" w:eastAsia="FangSong" w:cs="FangSong"/>
          <w:sz w:val="31"/>
          <w:szCs w:val="31"/>
        </w:rPr>
      </w:pPr>
      <w:r>
        <mc:AlternateContent xmlns:mc="http://schemas.openxmlformats.org/markup-compatibility/2006"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column">
                  <wp:posOffset>430403</wp:posOffset>
                </wp:positionH>
                <wp:positionV relativeFrom="paragraph">
                  <wp:posOffset>156888</wp:posOffset>
                </wp:positionV>
                <wp:extent cx="5186045" cy="203200"/>
                <wp:effectExtent l="0" t="0" r="0" b="0"/>
                <wp:wrapNone/>
                <wp:docPr id="12" name="Rect 12"/>
                <wp:cNvGraphicFramePr/>
                <a:graphic>
                  <a:graphicData uri="http://schemas.microsoft.com/office/word/2010/wordprocessingShape">
                    <wps:wsp>
                      <wps:cNvPr id="12" name="Rect 12"/>
                      <wps:cNvSpPr/>
                      <wps:spPr>
                        <a:xfrm>
                          <a:off x="430403" y="156888"/>
                          <a:ext cx="5186045" cy="203200"/>
                        </a:xfrm>
                        <a:prstGeom prst="rect">
                          <a:avLst/>
                        </a:prstGeom>
                        <a:solidFill>
                          <a:srgbClr val="FF6200">
                            <a:alpha val="39607"/>
                          </a:srgbClr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20" style="position:absolute;margin-left:33.8901pt;margin-top:12.3534pt;mso-position-vertical-relative:text;mso-position-horizontal-relative:text;width:408.35pt;height:16pt;z-index:-251656192;" fillcolor="#FF6200" filled="true" stroked="false">
                <v:fill opacity="0.396078"/>
              </v:rect>
            </w:pict>
          </mc:Fallback>
        </mc:AlternateContent>
      </w:r>
      <w:r>
        <mc:AlternateContent xmlns:mc="http://schemas.openxmlformats.org/markup-compatibility/2006"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column">
                  <wp:posOffset>3733</wp:posOffset>
                </wp:positionH>
                <wp:positionV relativeFrom="paragraph">
                  <wp:posOffset>553126</wp:posOffset>
                </wp:positionV>
                <wp:extent cx="5612765" cy="203200"/>
                <wp:effectExtent l="0" t="0" r="0" b="0"/>
                <wp:wrapNone/>
                <wp:docPr id="14" name="Rect 14"/>
                <wp:cNvGraphicFramePr/>
                <a:graphic>
                  <a:graphicData uri="http://schemas.microsoft.com/office/word/2010/wordprocessingShape">
                    <wps:wsp>
                      <wps:cNvPr id="14" name="Rect 14"/>
                      <wps:cNvSpPr/>
                      <wps:spPr>
                        <a:xfrm>
                          <a:off x="3733" y="553126"/>
                          <a:ext cx="5612765" cy="203200"/>
                        </a:xfrm>
                        <a:prstGeom prst="rect">
                          <a:avLst/>
                        </a:prstGeom>
                        <a:solidFill>
                          <a:srgbClr val="FF6200">
                            <a:alpha val="39607"/>
                          </a:srgbClr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22" style="position:absolute;margin-left:0.293999pt;margin-top:43.5533pt;mso-position-vertical-relative:text;mso-position-horizontal-relative:text;width:441.95pt;height:16pt;z-index:-251655168;" fillcolor="#FF6200" filled="true" stroked="false">
                <v:fill opacity="0.396078"/>
              </v:rect>
            </w:pict>
          </mc:Fallback>
        </mc:AlternateContent>
      </w:r>
      <w:r>
        <mc:AlternateContent xmlns:mc="http://schemas.openxmlformats.org/markup-compatibility/2006"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column">
                  <wp:posOffset>3733</wp:posOffset>
                </wp:positionH>
                <wp:positionV relativeFrom="paragraph">
                  <wp:posOffset>949621</wp:posOffset>
                </wp:positionV>
                <wp:extent cx="2437129" cy="203200"/>
                <wp:effectExtent l="0" t="0" r="0" b="0"/>
                <wp:wrapNone/>
                <wp:docPr id="16" name="Rect 16"/>
                <wp:cNvGraphicFramePr/>
                <a:graphic>
                  <a:graphicData uri="http://schemas.microsoft.com/office/word/2010/wordprocessingShape">
                    <wps:wsp>
                      <wps:cNvPr id="16" name="Rect 16"/>
                      <wps:cNvSpPr/>
                      <wps:spPr>
                        <a:xfrm>
                          <a:off x="3733" y="949621"/>
                          <a:ext cx="2437129" cy="203200"/>
                        </a:xfrm>
                        <a:prstGeom prst="rect">
                          <a:avLst/>
                        </a:prstGeom>
                        <a:solidFill>
                          <a:srgbClr val="FF6200">
                            <a:alpha val="39607"/>
                          </a:srgbClr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24" style="position:absolute;margin-left:0.293999pt;margin-top:74.7733pt;mso-position-vertical-relative:text;mso-position-horizontal-relative:text;width:191.9pt;height:16pt;z-index:-251657216;" fillcolor="#FF6200" filled="true" stroked="false">
                <v:fill opacity="0.396078"/>
              </v:rect>
            </w:pict>
          </mc:Fallback>
        </mc:AlternateContent>
      </w:r>
      <w:r>
        <w:rPr>
          <w:rFonts w:ascii="FangSong" w:hAnsi="FangSong" w:eastAsia="FangSong" w:cs="FangSong"/>
          <w:sz w:val="31"/>
          <w:szCs w:val="31"/>
          <w:spacing w:val="3"/>
        </w:rPr>
        <w:t>使用技术防范工程的单位，应当建立健全技术防范工程的使</w:t>
      </w:r>
      <w:r>
        <w:rPr>
          <w:rFonts w:ascii="FangSong" w:hAnsi="FangSong" w:eastAsia="FangSong" w:cs="FangSong"/>
          <w:sz w:val="31"/>
          <w:szCs w:val="31"/>
          <w:spacing w:val="5"/>
        </w:rPr>
        <w:t>用和维护保养制度，确保技术防范工程的正常、有效运行，并接</w:t>
      </w:r>
      <w:r>
        <w:rPr>
          <w:rFonts w:ascii="FangSong" w:hAnsi="FangSong" w:eastAsia="FangSong" w:cs="FangSong"/>
          <w:sz w:val="31"/>
          <w:szCs w:val="31"/>
          <w:spacing w:val="5"/>
        </w:rPr>
        <w:t>受公安部门的指导和监督。</w:t>
      </w:r>
      <w:r>
        <w:rPr>
          <w:rFonts w:ascii="FangSong" w:hAnsi="FangSong" w:eastAsia="FangSong" w:cs="FangSong"/>
          <w:sz w:val="31"/>
          <w:szCs w:val="31"/>
          <w:spacing w:val="5"/>
        </w:rPr>
        <w:t xml:space="preserve"> </w:t>
      </w:r>
    </w:p>
    <w:p>
      <w:pPr>
        <w:ind w:left="690"/>
        <w:spacing w:line="222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9"/>
        </w:rPr>
        <w:t>第十一条</w:t>
      </w:r>
      <w:r>
        <w:rPr>
          <w:rFonts w:ascii="FangSong" w:hAnsi="FangSong" w:eastAsia="FangSong" w:cs="FangSong"/>
          <w:sz w:val="31"/>
          <w:szCs w:val="31"/>
          <w:spacing w:val="9"/>
        </w:rPr>
        <w:t>（技术防范工程从业和使用单位的要求）</w:t>
      </w:r>
    </w:p>
    <w:p>
      <w:pPr>
        <w:ind w:left="41" w:right="72" w:firstLine="652"/>
        <w:spacing w:before="250" w:line="372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3"/>
        </w:rPr>
        <w:t>技术防范工程的设计、施工、验收、维修和使用单位应当遵</w:t>
      </w:r>
      <w:r>
        <w:rPr>
          <w:rFonts w:ascii="FangSong" w:hAnsi="FangSong" w:eastAsia="FangSong" w:cs="FangSong"/>
          <w:sz w:val="31"/>
          <w:szCs w:val="31"/>
          <w:spacing w:val="-6"/>
        </w:rPr>
        <w:t>守下列规定：</w:t>
      </w:r>
    </w:p>
    <w:p>
      <w:pPr>
        <w:ind w:left="682"/>
        <w:spacing w:line="222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</w:rPr>
        <w:t>（</w:t>
      </w:r>
      <w:r>
        <w:rPr>
          <w:rFonts w:ascii="FangSong" w:hAnsi="FangSong" w:eastAsia="FangSong" w:cs="FangSong"/>
          <w:sz w:val="31"/>
          <w:szCs w:val="31"/>
          <w:spacing w:val="-65"/>
        </w:rPr>
        <w:t xml:space="preserve"> </w:t>
      </w:r>
      <w:r>
        <w:rPr>
          <w:rFonts w:ascii="FangSong" w:hAnsi="FangSong" w:eastAsia="FangSong" w:cs="FangSong"/>
          <w:sz w:val="31"/>
          <w:szCs w:val="31"/>
        </w:rPr>
        <w:t>一）执行国家和本市安全保密规定；</w:t>
      </w:r>
    </w:p>
    <w:p>
      <w:pPr>
        <w:ind w:right="10"/>
        <w:spacing w:before="252" w:line="222" w:lineRule="auto"/>
        <w:jc w:val="right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6"/>
        </w:rPr>
        <w:t>（二）加强对涉密人员的教育和管理，制订安全保密制度；</w:t>
      </w:r>
    </w:p>
    <w:p>
      <w:pPr>
        <w:spacing w:before="252" w:line="221" w:lineRule="auto"/>
        <w:jc w:val="right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-5"/>
        </w:rPr>
        <w:t>（三）严格限制技术防范工程知密人员的范围，并登记注册；</w:t>
      </w:r>
    </w:p>
    <w:p>
      <w:pPr>
        <w:ind w:left="682"/>
        <w:spacing w:before="253" w:line="221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6"/>
        </w:rPr>
        <w:t>（四）妥善保管技术防范工程的设计图纸以及有关资料；</w:t>
      </w:r>
    </w:p>
    <w:p>
      <w:pPr>
        <w:spacing w:line="221" w:lineRule="auto"/>
        <w:sectPr>
          <w:headerReference w:type="default" r:id="rId7"/>
          <w:footerReference w:type="default" r:id="rId8"/>
          <w:pgSz w:w="11907" w:h="16839"/>
          <w:pgMar w:top="1955" w:right="1404" w:bottom="2497" w:left="1581" w:header="1276" w:footer="1363" w:gutter="0"/>
        </w:sectPr>
        <w:rPr>
          <w:rFonts w:ascii="FangSong" w:hAnsi="FangSong" w:eastAsia="FangSong" w:cs="FangSong"/>
          <w:sz w:val="31"/>
          <w:szCs w:val="31"/>
        </w:rPr>
      </w:pPr>
    </w:p>
    <w:p>
      <w:pPr>
        <w:ind w:left="28" w:right="98" w:firstLine="654"/>
        <w:spacing w:before="160" w:line="371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3"/>
        </w:rPr>
        <w:t>（五）不使用曾被追究刑事责任或者被劳动教养、受到治安</w:t>
      </w:r>
      <w:r>
        <w:rPr>
          <w:rFonts w:ascii="FangSong" w:hAnsi="FangSong" w:eastAsia="FangSong" w:cs="FangSong"/>
          <w:sz w:val="31"/>
          <w:szCs w:val="31"/>
          <w:spacing w:val="-2"/>
        </w:rPr>
        <w:t>拘留的人员。</w:t>
      </w:r>
    </w:p>
    <w:p>
      <w:pPr>
        <w:ind w:left="690"/>
        <w:spacing w:line="224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7"/>
        </w:rPr>
        <w:t>第十二条</w:t>
      </w:r>
      <w:r>
        <w:rPr>
          <w:rFonts w:ascii="FangSong" w:hAnsi="FangSong" w:eastAsia="FangSong" w:cs="FangSong"/>
          <w:sz w:val="31"/>
          <w:szCs w:val="31"/>
          <w:spacing w:val="7"/>
        </w:rPr>
        <w:t>（禁止规定）</w:t>
      </w:r>
    </w:p>
    <w:p>
      <w:pPr>
        <w:ind w:left="33" w:right="76" w:firstLine="662"/>
        <w:spacing w:before="246" w:line="372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3"/>
        </w:rPr>
        <w:t>任何单位和个人都应当遵守技术防范工程使用规定，禁止下</w:t>
      </w:r>
      <w:r>
        <w:rPr>
          <w:rFonts w:ascii="FangSong" w:hAnsi="FangSong" w:eastAsia="FangSong" w:cs="FangSong"/>
          <w:sz w:val="31"/>
          <w:szCs w:val="31"/>
          <w:spacing w:val="-16"/>
        </w:rPr>
        <w:t>列行为：</w:t>
      </w:r>
    </w:p>
    <w:p>
      <w:pPr>
        <w:ind w:left="682"/>
        <w:spacing w:line="223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</w:rPr>
        <w:t>（</w:t>
      </w:r>
      <w:r>
        <w:rPr>
          <w:rFonts w:ascii="FangSong" w:hAnsi="FangSong" w:eastAsia="FangSong" w:cs="FangSong"/>
          <w:sz w:val="31"/>
          <w:szCs w:val="31"/>
          <w:spacing w:val="-62"/>
        </w:rPr>
        <w:t xml:space="preserve"> </w:t>
      </w:r>
      <w:r>
        <w:rPr>
          <w:rFonts w:ascii="FangSong" w:hAnsi="FangSong" w:eastAsia="FangSong" w:cs="FangSong"/>
          <w:sz w:val="31"/>
          <w:szCs w:val="31"/>
        </w:rPr>
        <w:t>一）毁坏技术防范工程的设备、设施；</w:t>
      </w:r>
    </w:p>
    <w:p>
      <w:pPr>
        <w:ind w:left="682"/>
        <w:spacing w:before="248" w:line="224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5"/>
        </w:rPr>
        <w:t>（二）擅自改变技术防范工程的用途；</w:t>
      </w:r>
    </w:p>
    <w:p>
      <w:pPr>
        <w:ind w:left="682"/>
        <w:spacing w:before="248" w:line="224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8"/>
        </w:rPr>
        <w:t>（三）泄露技术防范工程的秘密；</w:t>
      </w:r>
    </w:p>
    <w:p>
      <w:pPr>
        <w:ind w:left="682"/>
        <w:spacing w:before="249" w:line="222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8"/>
        </w:rPr>
        <w:t>（四）影响技术防范工程使用的其他行为。</w:t>
      </w:r>
    </w:p>
    <w:p>
      <w:pPr>
        <w:ind w:left="690"/>
        <w:spacing w:before="250" w:line="224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7"/>
        </w:rPr>
        <w:t>第十三条</w:t>
      </w:r>
      <w:r>
        <w:rPr>
          <w:rFonts w:ascii="FangSong" w:hAnsi="FangSong" w:eastAsia="FangSong" w:cs="FangSong"/>
          <w:sz w:val="31"/>
          <w:szCs w:val="31"/>
          <w:spacing w:val="7"/>
        </w:rPr>
        <w:t>（法律责任）</w:t>
      </w:r>
    </w:p>
    <w:p>
      <w:pPr>
        <w:ind w:left="62" w:right="72" w:firstLine="632"/>
        <w:spacing w:before="248" w:line="372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3"/>
        </w:rPr>
        <w:t>违反本办法的，由公安部门责令限期改正，并按下列规定予</w:t>
      </w:r>
      <w:r>
        <w:rPr>
          <w:rFonts w:ascii="FangSong" w:hAnsi="FangSong" w:eastAsia="FangSong" w:cs="FangSong"/>
          <w:sz w:val="31"/>
          <w:szCs w:val="31"/>
          <w:spacing w:val="-21"/>
        </w:rPr>
        <w:t>以处罚：</w:t>
      </w:r>
    </w:p>
    <w:p>
      <w:pPr>
        <w:ind w:left="28" w:right="74" w:firstLine="654"/>
        <w:spacing w:before="2" w:line="371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1"/>
        </w:rPr>
        <w:t>（</w:t>
      </w:r>
      <w:r>
        <w:rPr>
          <w:rFonts w:ascii="FangSong" w:hAnsi="FangSong" w:eastAsia="FangSong" w:cs="FangSong"/>
          <w:sz w:val="31"/>
          <w:szCs w:val="31"/>
          <w:spacing w:val="-78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1"/>
        </w:rPr>
        <w:t>一）违反第五条、第七条、第十条、第十一条、第十二条</w:t>
      </w:r>
      <w:r>
        <w:rPr>
          <w:rFonts w:ascii="FangSong" w:hAnsi="FangSong" w:eastAsia="FangSong" w:cs="FangSong"/>
          <w:sz w:val="31"/>
          <w:szCs w:val="31"/>
          <w:spacing w:val="-2"/>
        </w:rPr>
        <w:t>规定的，处</w:t>
      </w:r>
      <w:r>
        <w:rPr>
          <w:rFonts w:ascii="FangSong" w:hAnsi="FangSong" w:eastAsia="FangSong" w:cs="FangSong"/>
          <w:sz w:val="31"/>
          <w:szCs w:val="31"/>
          <w:spacing w:val="-34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-2"/>
        </w:rPr>
        <w:t>200</w:t>
      </w:r>
      <w:r>
        <w:rPr>
          <w:rFonts w:ascii="FangSong" w:hAnsi="FangSong" w:eastAsia="FangSong" w:cs="FangSong"/>
          <w:sz w:val="31"/>
          <w:szCs w:val="31"/>
          <w:spacing w:val="-50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-2"/>
        </w:rPr>
        <w:t>元以上</w:t>
      </w:r>
      <w:r>
        <w:rPr>
          <w:rFonts w:ascii="FangSong" w:hAnsi="FangSong" w:eastAsia="FangSong" w:cs="FangSong"/>
          <w:sz w:val="31"/>
          <w:szCs w:val="31"/>
          <w:spacing w:val="-43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-2"/>
        </w:rPr>
        <w:t>1000</w:t>
      </w:r>
      <w:r>
        <w:rPr>
          <w:rFonts w:ascii="FangSong" w:hAnsi="FangSong" w:eastAsia="FangSong" w:cs="FangSong"/>
          <w:sz w:val="31"/>
          <w:szCs w:val="31"/>
          <w:spacing w:val="-5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-2"/>
        </w:rPr>
        <w:t>元以下罚款；</w:t>
      </w:r>
    </w:p>
    <w:p>
      <w:pPr>
        <w:ind w:left="18" w:firstLine="664"/>
        <w:spacing w:before="3" w:line="371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9"/>
        </w:rPr>
        <w:t>（二）违反第六条第二款、第八条规定的，对单位处</w:t>
      </w:r>
      <w:r>
        <w:rPr>
          <w:rFonts w:ascii="FangSong" w:hAnsi="FangSong" w:eastAsia="FangSong" w:cs="FangSong"/>
          <w:sz w:val="31"/>
          <w:szCs w:val="31"/>
          <w:spacing w:val="9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9"/>
        </w:rPr>
        <w:t>1000</w:t>
      </w:r>
      <w:r>
        <w:rPr>
          <w:rFonts w:ascii="FangSong" w:hAnsi="FangSong" w:eastAsia="FangSong" w:cs="FangSong"/>
          <w:sz w:val="31"/>
          <w:szCs w:val="31"/>
          <w:spacing w:val="-4"/>
        </w:rPr>
        <w:t>元以上</w:t>
      </w:r>
      <w:r>
        <w:rPr>
          <w:rFonts w:ascii="FangSong" w:hAnsi="FangSong" w:eastAsia="FangSong" w:cs="FangSong"/>
          <w:sz w:val="31"/>
          <w:szCs w:val="31"/>
          <w:spacing w:val="-39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-4"/>
        </w:rPr>
        <w:t>3</w:t>
      </w:r>
      <w:r>
        <w:rPr>
          <w:rFonts w:ascii="FangSong" w:hAnsi="FangSong" w:eastAsia="FangSong" w:cs="FangSong"/>
          <w:sz w:val="31"/>
          <w:szCs w:val="31"/>
          <w:spacing w:val="-42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-4"/>
        </w:rPr>
        <w:t>万元以下罚款，对个人处</w:t>
      </w:r>
      <w:r>
        <w:rPr>
          <w:rFonts w:ascii="FangSong" w:hAnsi="FangSong" w:eastAsia="FangSong" w:cs="FangSong"/>
          <w:sz w:val="31"/>
          <w:szCs w:val="31"/>
          <w:spacing w:val="-46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-4"/>
        </w:rPr>
        <w:t>500</w:t>
      </w:r>
      <w:r>
        <w:rPr>
          <w:rFonts w:ascii="FangSong" w:hAnsi="FangSong" w:eastAsia="FangSong" w:cs="FangSong"/>
          <w:sz w:val="31"/>
          <w:szCs w:val="31"/>
          <w:spacing w:val="-5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-4"/>
        </w:rPr>
        <w:t>元以上</w:t>
      </w:r>
      <w:r>
        <w:rPr>
          <w:rFonts w:ascii="FangSong" w:hAnsi="FangSong" w:eastAsia="FangSong" w:cs="FangSong"/>
          <w:sz w:val="31"/>
          <w:szCs w:val="31"/>
          <w:spacing w:val="-47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-4"/>
        </w:rPr>
        <w:t>5000</w:t>
      </w:r>
      <w:r>
        <w:rPr>
          <w:rFonts w:ascii="FangSong" w:hAnsi="FangSong" w:eastAsia="FangSong" w:cs="FangSong"/>
          <w:sz w:val="31"/>
          <w:szCs w:val="31"/>
          <w:spacing w:val="-50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-4"/>
        </w:rPr>
        <w:t>元以下罚款；</w:t>
      </w:r>
      <w:r>
        <w:rPr>
          <w:rFonts w:ascii="FangSong" w:hAnsi="FangSong" w:eastAsia="FangSong" w:cs="FangSong"/>
          <w:sz w:val="31"/>
          <w:szCs w:val="31"/>
          <w:spacing w:val="3"/>
        </w:rPr>
        <w:t>其中对非经营性行为的，</w:t>
      </w:r>
      <w:r>
        <w:rPr>
          <w:rFonts w:ascii="FangSong" w:hAnsi="FangSong" w:eastAsia="FangSong" w:cs="FangSong"/>
          <w:sz w:val="31"/>
          <w:szCs w:val="31"/>
          <w:spacing w:val="-84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3"/>
        </w:rPr>
        <w:t>罚款幅度最高不得超</w:t>
      </w:r>
      <w:r>
        <w:rPr>
          <w:rFonts w:ascii="FangSong" w:hAnsi="FangSong" w:eastAsia="FangSong" w:cs="FangSong"/>
          <w:sz w:val="31"/>
          <w:szCs w:val="31"/>
          <w:spacing w:val="2"/>
        </w:rPr>
        <w:t>过</w:t>
      </w:r>
      <w:r>
        <w:rPr>
          <w:rFonts w:ascii="FangSong" w:hAnsi="FangSong" w:eastAsia="FangSong" w:cs="FangSong"/>
          <w:sz w:val="31"/>
          <w:szCs w:val="31"/>
          <w:spacing w:val="-39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2"/>
        </w:rPr>
        <w:t>1000</w:t>
      </w:r>
      <w:r>
        <w:rPr>
          <w:rFonts w:ascii="FangSong" w:hAnsi="FangSong" w:eastAsia="FangSong" w:cs="FangSong"/>
          <w:sz w:val="31"/>
          <w:szCs w:val="31"/>
          <w:spacing w:val="-5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2"/>
        </w:rPr>
        <w:t>元。</w:t>
      </w:r>
    </w:p>
    <w:p>
      <w:pPr>
        <w:ind w:left="30" w:right="72" w:firstLine="663"/>
        <w:spacing w:before="1" w:line="372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-8"/>
        </w:rPr>
        <w:t>违反本办法规定，应当给予治安处罚的，由公安部门依照《中</w:t>
      </w:r>
      <w:r>
        <w:rPr>
          <w:rFonts w:ascii="FangSong" w:hAnsi="FangSong" w:eastAsia="FangSong" w:cs="FangSong"/>
          <w:sz w:val="31"/>
          <w:szCs w:val="31"/>
          <w:spacing w:val="5"/>
        </w:rPr>
        <w:t>华人民共和国治安管理处罚法》予以处罚；构</w:t>
      </w:r>
      <w:r>
        <w:rPr>
          <w:rFonts w:ascii="FangSong" w:hAnsi="FangSong" w:eastAsia="FangSong" w:cs="FangSong"/>
          <w:sz w:val="31"/>
          <w:szCs w:val="31"/>
          <w:spacing w:val="4"/>
        </w:rPr>
        <w:t>成犯罪的，依法追</w:t>
      </w:r>
    </w:p>
    <w:p>
      <w:pPr>
        <w:spacing w:line="372" w:lineRule="auto"/>
        <w:sectPr>
          <w:headerReference w:type="default" r:id="rId9"/>
          <w:footerReference w:type="default" r:id="rId10"/>
          <w:pgSz w:w="11907" w:h="16839"/>
          <w:pgMar w:top="1955" w:right="1404" w:bottom="2497" w:left="1581" w:header="1276" w:footer="1363" w:gutter="0"/>
        </w:sectPr>
        <w:rPr>
          <w:rFonts w:ascii="FangSong" w:hAnsi="FangSong" w:eastAsia="FangSong" w:cs="FangSong"/>
          <w:sz w:val="31"/>
          <w:szCs w:val="31"/>
        </w:rPr>
      </w:pPr>
    </w:p>
    <w:p>
      <w:pPr>
        <w:ind w:left="38"/>
        <w:spacing w:before="161" w:line="224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-4"/>
        </w:rPr>
        <w:t>究刑事责任。</w:t>
      </w:r>
    </w:p>
    <w:p>
      <w:pPr>
        <w:ind w:left="690"/>
        <w:spacing w:before="245" w:line="222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7"/>
        </w:rPr>
        <w:t>第十四条</w:t>
      </w:r>
      <w:r>
        <w:rPr>
          <w:rFonts w:ascii="FangSong" w:hAnsi="FangSong" w:eastAsia="FangSong" w:cs="FangSong"/>
          <w:sz w:val="31"/>
          <w:szCs w:val="31"/>
          <w:spacing w:val="7"/>
        </w:rPr>
        <w:t>（执法保障）</w:t>
      </w:r>
    </w:p>
    <w:p>
      <w:pPr>
        <w:ind w:left="18" w:firstLine="670"/>
        <w:spacing w:before="249" w:line="372" w:lineRule="auto"/>
        <w:jc w:val="both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-5"/>
        </w:rPr>
        <w:t>公安人员应当遵纪守法，秉公执法。对玩忽职守、滥用职权、</w:t>
      </w:r>
      <w:r>
        <w:rPr>
          <w:rFonts w:ascii="FangSong" w:hAnsi="FangSong" w:eastAsia="FangSong" w:cs="FangSong"/>
          <w:sz w:val="31"/>
          <w:szCs w:val="31"/>
          <w:spacing w:val="5"/>
        </w:rPr>
        <w:t>徇私舞弊、索贿受贿、枉法执行者，由其所在单位或者上级主管</w:t>
      </w:r>
      <w:r>
        <w:rPr>
          <w:rFonts w:ascii="FangSong" w:hAnsi="FangSong" w:eastAsia="FangSong" w:cs="FangSong"/>
          <w:sz w:val="31"/>
          <w:szCs w:val="31"/>
          <w:spacing w:val="7"/>
        </w:rPr>
        <w:t>部门给予行政处分。构成犯罪的，依法追究刑</w:t>
      </w:r>
      <w:r>
        <w:rPr>
          <w:rFonts w:ascii="FangSong" w:hAnsi="FangSong" w:eastAsia="FangSong" w:cs="FangSong"/>
          <w:sz w:val="31"/>
          <w:szCs w:val="31"/>
          <w:spacing w:val="6"/>
        </w:rPr>
        <w:t>事责任。</w:t>
      </w:r>
    </w:p>
    <w:p>
      <w:pPr>
        <w:ind w:left="690"/>
        <w:spacing w:line="224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8"/>
        </w:rPr>
        <w:t>第十五条</w:t>
      </w:r>
      <w:r>
        <w:rPr>
          <w:rFonts w:ascii="FangSong" w:hAnsi="FangSong" w:eastAsia="FangSong" w:cs="FangSong"/>
          <w:sz w:val="31"/>
          <w:szCs w:val="31"/>
          <w:spacing w:val="8"/>
        </w:rPr>
        <w:t>（涉及国家安全、国家秘密的规定）</w:t>
      </w:r>
    </w:p>
    <w:p>
      <w:pPr>
        <w:ind w:left="45" w:right="95" w:firstLine="641"/>
        <w:spacing w:before="246" w:line="372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4"/>
        </w:rPr>
        <w:t>建筑项目中涉及国家安全、国家秘密，国家和本</w:t>
      </w:r>
      <w:r>
        <w:rPr>
          <w:rFonts w:ascii="FangSong" w:hAnsi="FangSong" w:eastAsia="FangSong" w:cs="FangSong"/>
          <w:sz w:val="31"/>
          <w:szCs w:val="31"/>
          <w:spacing w:val="3"/>
        </w:rPr>
        <w:t>市另有规定</w:t>
      </w:r>
      <w:r>
        <w:rPr>
          <w:rFonts w:ascii="FangSong" w:hAnsi="FangSong" w:eastAsia="FangSong" w:cs="FangSong"/>
          <w:sz w:val="31"/>
          <w:szCs w:val="31"/>
        </w:rPr>
        <w:t>的，按照有关规定执行。</w:t>
      </w:r>
    </w:p>
    <w:p>
      <w:pPr>
        <w:ind w:left="690"/>
        <w:spacing w:before="1" w:line="222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8"/>
        </w:rPr>
        <w:t>第十六条</w:t>
      </w:r>
      <w:r>
        <w:rPr>
          <w:rFonts w:ascii="FangSong" w:hAnsi="FangSong" w:eastAsia="FangSong" w:cs="FangSong"/>
          <w:sz w:val="31"/>
          <w:szCs w:val="31"/>
          <w:spacing w:val="8"/>
        </w:rPr>
        <w:t>（应用解释部门）</w:t>
      </w:r>
    </w:p>
    <w:p>
      <w:pPr>
        <w:ind w:left="703"/>
        <w:spacing w:before="250" w:line="222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8"/>
        </w:rPr>
        <w:t>市公安局可以对本办法的具体应用问题进行解释。</w:t>
      </w:r>
    </w:p>
    <w:p>
      <w:pPr>
        <w:ind w:left="690"/>
        <w:spacing w:before="251" w:line="222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7"/>
        </w:rPr>
        <w:t>第十七条</w:t>
      </w:r>
      <w:r>
        <w:rPr>
          <w:rFonts w:ascii="FangSong" w:hAnsi="FangSong" w:eastAsia="FangSong" w:cs="FangSong"/>
          <w:sz w:val="31"/>
          <w:szCs w:val="31"/>
          <w:spacing w:val="7"/>
        </w:rPr>
        <w:t>（施行日期）</w:t>
      </w:r>
    </w:p>
    <w:p>
      <w:pPr>
        <w:ind w:left="690"/>
        <w:spacing w:before="252" w:line="222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-7"/>
        </w:rPr>
        <w:t>本办法自</w:t>
      </w:r>
      <w:r>
        <w:rPr>
          <w:rFonts w:ascii="FangSong" w:hAnsi="FangSong" w:eastAsia="FangSong" w:cs="FangSong"/>
          <w:sz w:val="31"/>
          <w:szCs w:val="31"/>
          <w:spacing w:val="-45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-7"/>
        </w:rPr>
        <w:t>2001</w:t>
      </w:r>
      <w:r>
        <w:rPr>
          <w:rFonts w:ascii="FangSong" w:hAnsi="FangSong" w:eastAsia="FangSong" w:cs="FangSong"/>
          <w:sz w:val="31"/>
          <w:szCs w:val="31"/>
          <w:spacing w:val="-58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-7"/>
        </w:rPr>
        <w:t>年</w:t>
      </w:r>
      <w:r>
        <w:rPr>
          <w:rFonts w:ascii="FangSong" w:hAnsi="FangSong" w:eastAsia="FangSong" w:cs="FangSong"/>
          <w:sz w:val="31"/>
          <w:szCs w:val="31"/>
          <w:spacing w:val="-52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-7"/>
        </w:rPr>
        <w:t>4</w:t>
      </w:r>
      <w:r>
        <w:rPr>
          <w:rFonts w:ascii="FangSong" w:hAnsi="FangSong" w:eastAsia="FangSong" w:cs="FangSong"/>
          <w:sz w:val="31"/>
          <w:szCs w:val="31"/>
          <w:spacing w:val="-46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-7"/>
        </w:rPr>
        <w:t>月</w:t>
      </w:r>
      <w:r>
        <w:rPr>
          <w:rFonts w:ascii="FangSong" w:hAnsi="FangSong" w:eastAsia="FangSong" w:cs="FangSong"/>
          <w:sz w:val="31"/>
          <w:szCs w:val="31"/>
          <w:spacing w:val="-43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-7"/>
        </w:rPr>
        <w:t>1</w:t>
      </w:r>
      <w:r>
        <w:rPr>
          <w:rFonts w:ascii="FangSong" w:hAnsi="FangSong" w:eastAsia="FangSong" w:cs="FangSong"/>
          <w:sz w:val="31"/>
          <w:szCs w:val="31"/>
          <w:spacing w:val="-7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-7"/>
        </w:rPr>
        <w:t>日起施行。</w:t>
      </w:r>
    </w:p>
    <w:sectPr>
      <w:headerReference w:type="default" r:id="rId11"/>
      <w:footerReference w:type="default" r:id="rId12"/>
      <w:pgSz w:w="11907" w:h="16839"/>
      <w:pgMar w:top="1955" w:right="1381" w:bottom="2497" w:left="1581" w:header="1276" w:footer="1363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FangSong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aiTi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before="1" w:after="101" w:line="241" w:lineRule="auto"/>
      <w:jc w:val="right"/>
      <w:rPr>
        <w:rFonts w:ascii="SimSun" w:hAnsi="SimSun" w:eastAsia="SimSun" w:cs="SimSun"/>
        <w:sz w:val="28"/>
        <w:szCs w:val="28"/>
      </w:rPr>
    </w:pPr>
    <w:r>
      <w:rPr>
        <w:rFonts w:ascii="SimSun" w:hAnsi="SimSun" w:eastAsia="SimSun" w:cs="SimSun"/>
        <w:sz w:val="28"/>
        <w:szCs w:val="28"/>
        <w:spacing w:val="-19"/>
      </w:rPr>
      <w:t>-</w:t>
    </w:r>
    <w:r>
      <w:rPr>
        <w:rFonts w:ascii="SimSun" w:hAnsi="SimSun" w:eastAsia="SimSun" w:cs="SimSun"/>
        <w:sz w:val="28"/>
        <w:szCs w:val="28"/>
        <w:spacing w:val="32"/>
      </w:rPr>
      <w:t xml:space="preserve"> </w:t>
    </w:r>
    <w:r>
      <w:rPr>
        <w:rFonts w:ascii="SimSun" w:hAnsi="SimSun" w:eastAsia="SimSun" w:cs="SimSun"/>
        <w:sz w:val="28"/>
        <w:szCs w:val="28"/>
        <w:spacing w:val="-19"/>
      </w:rPr>
      <w:t>1</w:t>
    </w:r>
    <w:r>
      <w:rPr>
        <w:rFonts w:ascii="SimSun" w:hAnsi="SimSun" w:eastAsia="SimSun" w:cs="SimSun"/>
        <w:sz w:val="28"/>
        <w:szCs w:val="28"/>
        <w:spacing w:val="9"/>
      </w:rPr>
      <w:t xml:space="preserve"> </w:t>
    </w:r>
    <w:r>
      <w:rPr>
        <w:rFonts w:ascii="SimSun" w:hAnsi="SimSun" w:eastAsia="SimSun" w:cs="SimSun"/>
        <w:sz w:val="28"/>
        <w:szCs w:val="28"/>
        <w:spacing w:val="-10"/>
      </w:rPr>
      <w:t>-</w:t>
    </w:r>
  </w:p>
  <w:p>
    <w:pPr>
      <w:ind w:firstLine="5"/>
      <w:spacing w:line="37" w:lineRule="exact"/>
      <w:rPr/>
    </w:pPr>
    <w:r>
      <w:rPr/>
      <w:pict>
        <v:shape id="_x0000_s4" style="mso-position-vertical-relative:line;mso-position-horizontal-relative:char;width:442.3pt;height:1.9pt;" filled="false" strokecolor="#005192" strokeweight="1.75pt" coordsize="8845,37" coordorigin="0,0" path="m0,17l8845,20e">
          <v:stroke joinstyle="miter" miterlimit="10"/>
        </v:shape>
      </w:pict>
    </w:r>
  </w:p>
  <w:p>
    <w:pPr>
      <w:spacing w:line="294" w:lineRule="auto"/>
      <w:rPr>
        <w:rFonts w:ascii="Arial"/>
        <w:sz w:val="21"/>
      </w:rPr>
    </w:pPr>
    <w:r/>
  </w:p>
  <w:p>
    <w:pPr>
      <w:ind w:left="5631"/>
      <w:spacing w:before="1" w:line="212" w:lineRule="auto"/>
      <w:rPr>
        <w:rFonts w:ascii="SimSun" w:hAnsi="SimSun" w:eastAsia="SimSun" w:cs="SimSun"/>
        <w:sz w:val="28"/>
        <w:szCs w:val="28"/>
      </w:rPr>
    </w:pPr>
    <w:r>
      <w:rPr>
        <w:rFonts w:ascii="SimSun" w:hAnsi="SimSun" w:eastAsia="SimSun" w:cs="SimSun"/>
        <w:sz w:val="28"/>
        <w:szCs w:val="28"/>
        <w:b/>
        <w:bCs/>
        <w:color w:val="005192"/>
        <w:spacing w:val="-4"/>
      </w:rPr>
      <w:t>上海市人民政府发布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14"/>
      <w:spacing w:before="1" w:after="101" w:line="241" w:lineRule="auto"/>
      <w:rPr>
        <w:rFonts w:ascii="SimSun" w:hAnsi="SimSun" w:eastAsia="SimSun" w:cs="SimSun"/>
        <w:sz w:val="28"/>
        <w:szCs w:val="28"/>
      </w:rPr>
    </w:pPr>
    <w:r>
      <w:rPr>
        <w:rFonts w:ascii="SimSun" w:hAnsi="SimSun" w:eastAsia="SimSun" w:cs="SimSun"/>
        <w:sz w:val="28"/>
        <w:szCs w:val="28"/>
        <w:spacing w:val="-8"/>
      </w:rPr>
      <w:t>-</w:t>
    </w:r>
    <w:r>
      <w:rPr>
        <w:rFonts w:ascii="SimSun" w:hAnsi="SimSun" w:eastAsia="SimSun" w:cs="SimSun"/>
        <w:sz w:val="28"/>
        <w:szCs w:val="28"/>
        <w:spacing w:val="15"/>
      </w:rPr>
      <w:t xml:space="preserve"> </w:t>
    </w:r>
    <w:r>
      <w:rPr>
        <w:rFonts w:ascii="SimSun" w:hAnsi="SimSun" w:eastAsia="SimSun" w:cs="SimSun"/>
        <w:sz w:val="28"/>
        <w:szCs w:val="28"/>
        <w:spacing w:val="-8"/>
      </w:rPr>
      <w:t>2</w:t>
    </w:r>
    <w:r>
      <w:rPr>
        <w:rFonts w:ascii="SimSun" w:hAnsi="SimSun" w:eastAsia="SimSun" w:cs="SimSun"/>
        <w:sz w:val="28"/>
        <w:szCs w:val="28"/>
        <w:spacing w:val="9"/>
      </w:rPr>
      <w:t xml:space="preserve"> </w:t>
    </w:r>
    <w:r>
      <w:rPr>
        <w:rFonts w:ascii="SimSun" w:hAnsi="SimSun" w:eastAsia="SimSun" w:cs="SimSun"/>
        <w:sz w:val="28"/>
        <w:szCs w:val="28"/>
        <w:spacing w:val="-8"/>
      </w:rPr>
      <w:t>-</w:t>
    </w:r>
  </w:p>
  <w:p>
    <w:pPr>
      <w:ind w:firstLine="5"/>
      <w:spacing w:line="37" w:lineRule="exact"/>
      <w:rPr/>
    </w:pPr>
    <w:r>
      <w:rPr/>
      <w:pict>
        <v:shape id="_x0000_s8" style="mso-position-vertical-relative:line;mso-position-horizontal-relative:char;width:442.3pt;height:1.9pt;" filled="false" strokecolor="#005192" strokeweight="1.75pt" coordsize="8845,37" coordorigin="0,0" path="m0,17l8845,20e">
          <v:stroke joinstyle="miter" miterlimit="10"/>
        </v:shape>
      </w:pict>
    </w:r>
  </w:p>
  <w:p>
    <w:pPr>
      <w:spacing w:line="294" w:lineRule="auto"/>
      <w:rPr>
        <w:rFonts w:ascii="Arial"/>
        <w:sz w:val="21"/>
      </w:rPr>
    </w:pPr>
    <w:r/>
  </w:p>
  <w:p>
    <w:pPr>
      <w:ind w:left="5631"/>
      <w:spacing w:before="1" w:line="212" w:lineRule="auto"/>
      <w:rPr>
        <w:rFonts w:ascii="SimSun" w:hAnsi="SimSun" w:eastAsia="SimSun" w:cs="SimSun"/>
        <w:sz w:val="28"/>
        <w:szCs w:val="28"/>
      </w:rPr>
    </w:pPr>
    <w:r>
      <w:rPr>
        <w:rFonts w:ascii="SimSun" w:hAnsi="SimSun" w:eastAsia="SimSun" w:cs="SimSun"/>
        <w:sz w:val="28"/>
        <w:szCs w:val="28"/>
        <w:b/>
        <w:bCs/>
        <w:color w:val="005192"/>
        <w:spacing w:val="-4"/>
      </w:rPr>
      <w:t>上海市人民政府发布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right="38"/>
      <w:spacing w:after="103"/>
      <w:jc w:val="right"/>
      <w:rPr>
        <w:rFonts w:ascii="SimSun" w:hAnsi="SimSun" w:eastAsia="SimSun" w:cs="SimSun"/>
        <w:sz w:val="28"/>
        <w:szCs w:val="28"/>
      </w:rPr>
    </w:pPr>
    <w:r>
      <w:rPr>
        <w:rFonts w:ascii="SimSun" w:hAnsi="SimSun" w:eastAsia="SimSun" w:cs="SimSun"/>
        <w:sz w:val="28"/>
        <w:szCs w:val="28"/>
        <w:spacing w:val="-9"/>
      </w:rPr>
      <w:t>-</w:t>
    </w:r>
    <w:r>
      <w:rPr>
        <w:rFonts w:ascii="SimSun" w:hAnsi="SimSun" w:eastAsia="SimSun" w:cs="SimSun"/>
        <w:sz w:val="28"/>
        <w:szCs w:val="28"/>
        <w:spacing w:val="18"/>
      </w:rPr>
      <w:t xml:space="preserve"> </w:t>
    </w:r>
    <w:r>
      <w:rPr>
        <w:rFonts w:ascii="SimSun" w:hAnsi="SimSun" w:eastAsia="SimSun" w:cs="SimSun"/>
        <w:sz w:val="28"/>
        <w:szCs w:val="28"/>
        <w:spacing w:val="-9"/>
      </w:rPr>
      <w:t>3</w:t>
    </w:r>
    <w:r>
      <w:rPr>
        <w:rFonts w:ascii="SimSun" w:hAnsi="SimSun" w:eastAsia="SimSun" w:cs="SimSun"/>
        <w:sz w:val="28"/>
        <w:szCs w:val="28"/>
        <w:spacing w:val="9"/>
      </w:rPr>
      <w:t xml:space="preserve"> </w:t>
    </w:r>
    <w:r>
      <w:rPr>
        <w:rFonts w:ascii="SimSun" w:hAnsi="SimSun" w:eastAsia="SimSun" w:cs="SimSun"/>
        <w:sz w:val="28"/>
        <w:szCs w:val="28"/>
        <w:spacing w:val="-9"/>
      </w:rPr>
      <w:t>-</w:t>
    </w:r>
  </w:p>
  <w:p>
    <w:pPr>
      <w:ind w:firstLine="5"/>
      <w:spacing w:line="37" w:lineRule="exact"/>
      <w:rPr/>
    </w:pPr>
    <w:r>
      <w:rPr/>
      <w:pict>
        <v:shape id="_x0000_s14" style="mso-position-vertical-relative:line;mso-position-horizontal-relative:char;width:442.3pt;height:1.9pt;" filled="false" strokecolor="#005192" strokeweight="1.75pt" coordsize="8845,37" coordorigin="0,0" path="m0,17l8845,20e">
          <v:stroke joinstyle="miter" miterlimit="10"/>
        </v:shape>
      </w:pict>
    </w:r>
  </w:p>
  <w:p>
    <w:pPr>
      <w:spacing w:line="294" w:lineRule="auto"/>
      <w:rPr>
        <w:rFonts w:ascii="Arial"/>
        <w:sz w:val="21"/>
      </w:rPr>
    </w:pPr>
    <w:r/>
  </w:p>
  <w:p>
    <w:pPr>
      <w:ind w:left="5631"/>
      <w:spacing w:before="1" w:line="212" w:lineRule="auto"/>
      <w:rPr>
        <w:rFonts w:ascii="SimSun" w:hAnsi="SimSun" w:eastAsia="SimSun" w:cs="SimSun"/>
        <w:sz w:val="28"/>
        <w:szCs w:val="28"/>
      </w:rPr>
    </w:pPr>
    <w:r>
      <w:rPr>
        <w:rFonts w:ascii="SimSun" w:hAnsi="SimSun" w:eastAsia="SimSun" w:cs="SimSun"/>
        <w:sz w:val="28"/>
        <w:szCs w:val="28"/>
        <w:b/>
        <w:bCs/>
        <w:color w:val="005192"/>
        <w:spacing w:val="-4"/>
      </w:rPr>
      <w:t>上海市人民政府发布</w:t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14"/>
      <w:spacing w:before="1" w:after="101" w:line="241" w:lineRule="auto"/>
      <w:rPr>
        <w:rFonts w:ascii="SimSun" w:hAnsi="SimSun" w:eastAsia="SimSun" w:cs="SimSun"/>
        <w:sz w:val="28"/>
        <w:szCs w:val="28"/>
      </w:rPr>
    </w:pPr>
    <w:r>
      <w:rPr>
        <w:rFonts w:ascii="SimSun" w:hAnsi="SimSun" w:eastAsia="SimSun" w:cs="SimSun"/>
        <w:sz w:val="28"/>
        <w:szCs w:val="28"/>
        <w:spacing w:val="-6"/>
      </w:rPr>
      <w:t>-</w:t>
    </w:r>
    <w:r>
      <w:rPr>
        <w:rFonts w:ascii="SimSun" w:hAnsi="SimSun" w:eastAsia="SimSun" w:cs="SimSun"/>
        <w:sz w:val="28"/>
        <w:szCs w:val="28"/>
        <w:spacing w:val="10"/>
      </w:rPr>
      <w:t xml:space="preserve"> </w:t>
    </w:r>
    <w:r>
      <w:rPr>
        <w:rFonts w:ascii="SimSun" w:hAnsi="SimSun" w:eastAsia="SimSun" w:cs="SimSun"/>
        <w:sz w:val="28"/>
        <w:szCs w:val="28"/>
        <w:spacing w:val="-6"/>
      </w:rPr>
      <w:t>4</w:t>
    </w:r>
    <w:r>
      <w:rPr>
        <w:rFonts w:ascii="SimSun" w:hAnsi="SimSun" w:eastAsia="SimSun" w:cs="SimSun"/>
        <w:sz w:val="28"/>
        <w:szCs w:val="28"/>
        <w:spacing w:val="9"/>
      </w:rPr>
      <w:t xml:space="preserve"> </w:t>
    </w:r>
    <w:r>
      <w:rPr>
        <w:rFonts w:ascii="SimSun" w:hAnsi="SimSun" w:eastAsia="SimSun" w:cs="SimSun"/>
        <w:sz w:val="28"/>
        <w:szCs w:val="28"/>
        <w:spacing w:val="-6"/>
      </w:rPr>
      <w:t>-</w:t>
    </w:r>
  </w:p>
  <w:p>
    <w:pPr>
      <w:ind w:firstLine="5"/>
      <w:spacing w:line="37" w:lineRule="exact"/>
      <w:rPr/>
    </w:pPr>
    <w:r>
      <w:rPr/>
      <w:pict>
        <v:shape id="_x0000_s18" style="mso-position-vertical-relative:line;mso-position-horizontal-relative:char;width:442.3pt;height:1.9pt;" filled="false" strokecolor="#005192" strokeweight="1.75pt" coordsize="8845,37" coordorigin="0,0" path="m0,17l8845,20e">
          <v:stroke joinstyle="miter" miterlimit="10"/>
        </v:shape>
      </w:pict>
    </w:r>
  </w:p>
  <w:p>
    <w:pPr>
      <w:spacing w:line="294" w:lineRule="auto"/>
      <w:rPr>
        <w:rFonts w:ascii="Arial"/>
        <w:sz w:val="21"/>
      </w:rPr>
    </w:pPr>
    <w:r/>
  </w:p>
  <w:p>
    <w:pPr>
      <w:ind w:left="5631"/>
      <w:spacing w:before="1" w:line="212" w:lineRule="auto"/>
      <w:rPr>
        <w:rFonts w:ascii="SimSun" w:hAnsi="SimSun" w:eastAsia="SimSun" w:cs="SimSun"/>
        <w:sz w:val="28"/>
        <w:szCs w:val="28"/>
      </w:rPr>
    </w:pPr>
    <w:r>
      <w:rPr>
        <w:rFonts w:ascii="SimSun" w:hAnsi="SimSun" w:eastAsia="SimSun" w:cs="SimSun"/>
        <w:sz w:val="28"/>
        <w:szCs w:val="28"/>
        <w:b/>
        <w:bCs/>
        <w:color w:val="005192"/>
        <w:spacing w:val="-4"/>
      </w:rPr>
      <w:t>上海市人民政府发布</w:t>
    </w:r>
  </w:p>
</w:ftr>
</file>

<file path=word/footer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161"/>
      <w:spacing w:after="103"/>
      <w:rPr>
        <w:rFonts w:ascii="SimSun" w:hAnsi="SimSun" w:eastAsia="SimSun" w:cs="SimSun"/>
        <w:sz w:val="28"/>
        <w:szCs w:val="28"/>
      </w:rPr>
    </w:pPr>
    <w:r>
      <w:rPr>
        <w:rFonts w:ascii="SimSun" w:hAnsi="SimSun" w:eastAsia="SimSun" w:cs="SimSun"/>
        <w:sz w:val="28"/>
        <w:szCs w:val="28"/>
        <w:spacing w:val="-9"/>
      </w:rPr>
      <w:t>-</w:t>
    </w:r>
    <w:r>
      <w:rPr>
        <w:rFonts w:ascii="SimSun" w:hAnsi="SimSun" w:eastAsia="SimSun" w:cs="SimSun"/>
        <w:sz w:val="28"/>
        <w:szCs w:val="28"/>
        <w:spacing w:val="18"/>
      </w:rPr>
      <w:t xml:space="preserve"> </w:t>
    </w:r>
    <w:r>
      <w:rPr>
        <w:rFonts w:ascii="SimSun" w:hAnsi="SimSun" w:eastAsia="SimSun" w:cs="SimSun"/>
        <w:sz w:val="28"/>
        <w:szCs w:val="28"/>
        <w:spacing w:val="-9"/>
      </w:rPr>
      <w:t>5</w:t>
    </w:r>
    <w:r>
      <w:rPr>
        <w:rFonts w:ascii="SimSun" w:hAnsi="SimSun" w:eastAsia="SimSun" w:cs="SimSun"/>
        <w:sz w:val="28"/>
        <w:szCs w:val="28"/>
        <w:spacing w:val="9"/>
      </w:rPr>
      <w:t xml:space="preserve"> </w:t>
    </w:r>
    <w:r>
      <w:rPr>
        <w:rFonts w:ascii="SimSun" w:hAnsi="SimSun" w:eastAsia="SimSun" w:cs="SimSun"/>
        <w:sz w:val="28"/>
        <w:szCs w:val="28"/>
        <w:spacing w:val="-9"/>
      </w:rPr>
      <w:t>-</w:t>
    </w:r>
  </w:p>
  <w:p>
    <w:pPr>
      <w:ind w:firstLine="5"/>
      <w:spacing w:line="37" w:lineRule="exact"/>
      <w:rPr/>
    </w:pPr>
    <w:r>
      <w:rPr/>
      <w:pict>
        <v:shape id="_x0000_s28" style="mso-position-vertical-relative:line;mso-position-horizontal-relative:char;width:442.3pt;height:1.9pt;" filled="false" strokecolor="#005192" strokeweight="1.75pt" coordsize="8845,37" coordorigin="0,0" path="m0,17l8845,20e">
          <v:stroke joinstyle="miter" miterlimit="10"/>
        </v:shape>
      </w:pict>
    </w:r>
  </w:p>
  <w:p>
    <w:pPr>
      <w:spacing w:line="294" w:lineRule="auto"/>
      <w:rPr>
        <w:rFonts w:ascii="Arial"/>
        <w:sz w:val="21"/>
      </w:rPr>
    </w:pPr>
    <w:r/>
  </w:p>
  <w:p>
    <w:pPr>
      <w:ind w:left="5631"/>
      <w:spacing w:before="1" w:line="212" w:lineRule="auto"/>
      <w:rPr>
        <w:rFonts w:ascii="SimSun" w:hAnsi="SimSun" w:eastAsia="SimSun" w:cs="SimSun"/>
        <w:sz w:val="28"/>
        <w:szCs w:val="28"/>
      </w:rPr>
    </w:pPr>
    <w:r>
      <w:rPr>
        <w:rFonts w:ascii="SimSun" w:hAnsi="SimSun" w:eastAsia="SimSun" w:cs="SimSun"/>
        <w:sz w:val="28"/>
        <w:szCs w:val="28"/>
        <w:b/>
        <w:bCs/>
        <w:color w:val="005192"/>
        <w:spacing w:val="-4"/>
      </w:rPr>
      <w:t>上海市人民政府发布</w:t>
    </w:r>
  </w:p>
</w:ftr>
</file>

<file path=word/footer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14"/>
      <w:spacing w:after="103"/>
      <w:rPr>
        <w:rFonts w:ascii="SimSun" w:hAnsi="SimSun" w:eastAsia="SimSun" w:cs="SimSun"/>
        <w:sz w:val="28"/>
        <w:szCs w:val="28"/>
      </w:rPr>
    </w:pPr>
    <w:r>
      <w:rPr>
        <w:rFonts w:ascii="SimSun" w:hAnsi="SimSun" w:eastAsia="SimSun" w:cs="SimSun"/>
        <w:sz w:val="28"/>
        <w:szCs w:val="28"/>
        <w:spacing w:val="-8"/>
      </w:rPr>
      <w:t>-</w:t>
    </w:r>
    <w:r>
      <w:rPr>
        <w:rFonts w:ascii="SimSun" w:hAnsi="SimSun" w:eastAsia="SimSun" w:cs="SimSun"/>
        <w:sz w:val="28"/>
        <w:szCs w:val="28"/>
        <w:spacing w:val="15"/>
      </w:rPr>
      <w:t xml:space="preserve"> </w:t>
    </w:r>
    <w:r>
      <w:rPr>
        <w:rFonts w:ascii="SimSun" w:hAnsi="SimSun" w:eastAsia="SimSun" w:cs="SimSun"/>
        <w:sz w:val="28"/>
        <w:szCs w:val="28"/>
        <w:spacing w:val="-8"/>
      </w:rPr>
      <w:t>6</w:t>
    </w:r>
    <w:r>
      <w:rPr>
        <w:rFonts w:ascii="SimSun" w:hAnsi="SimSun" w:eastAsia="SimSun" w:cs="SimSun"/>
        <w:sz w:val="28"/>
        <w:szCs w:val="28"/>
        <w:spacing w:val="9"/>
      </w:rPr>
      <w:t xml:space="preserve"> </w:t>
    </w:r>
    <w:r>
      <w:rPr>
        <w:rFonts w:ascii="SimSun" w:hAnsi="SimSun" w:eastAsia="SimSun" w:cs="SimSun"/>
        <w:sz w:val="28"/>
        <w:szCs w:val="28"/>
        <w:spacing w:val="-8"/>
      </w:rPr>
      <w:t>-</w:t>
    </w:r>
  </w:p>
  <w:p>
    <w:pPr>
      <w:ind w:firstLine="5"/>
      <w:spacing w:line="37" w:lineRule="exact"/>
      <w:rPr/>
    </w:pPr>
    <w:r>
      <w:rPr/>
      <w:pict>
        <v:shape id="_x0000_s32" style="mso-position-vertical-relative:line;mso-position-horizontal-relative:char;width:442.3pt;height:1.9pt;" filled="false" strokecolor="#005192" strokeweight="1.75pt" coordsize="8845,37" coordorigin="0,0" path="m0,17l8845,20e">
          <v:stroke joinstyle="miter" miterlimit="10"/>
        </v:shape>
      </w:pict>
    </w:r>
  </w:p>
  <w:p>
    <w:pPr>
      <w:spacing w:line="294" w:lineRule="auto"/>
      <w:rPr>
        <w:rFonts w:ascii="Arial"/>
        <w:sz w:val="21"/>
      </w:rPr>
    </w:pPr>
    <w:r/>
  </w:p>
  <w:p>
    <w:pPr>
      <w:ind w:left="5631"/>
      <w:spacing w:before="1" w:line="212" w:lineRule="auto"/>
      <w:rPr>
        <w:rFonts w:ascii="SimSun" w:hAnsi="SimSun" w:eastAsia="SimSun" w:cs="SimSun"/>
        <w:sz w:val="28"/>
        <w:szCs w:val="28"/>
      </w:rPr>
    </w:pPr>
    <w:r>
      <w:rPr>
        <w:rFonts w:ascii="SimSun" w:hAnsi="SimSun" w:eastAsia="SimSun" w:cs="SimSun"/>
        <w:sz w:val="28"/>
        <w:szCs w:val="28"/>
        <w:b/>
        <w:bCs/>
        <w:color w:val="005192"/>
        <w:spacing w:val="-4"/>
      </w:rPr>
      <w:t>上海市人民政府发布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3"/>
      <w:spacing w:before="32"/>
      <w:rPr>
        <w:rFonts w:ascii="SimSun" w:hAnsi="SimSun" w:eastAsia="SimSun" w:cs="SimSun"/>
        <w:sz w:val="31"/>
        <w:szCs w:val="31"/>
      </w:rPr>
    </w:pPr>
    <w:r>
      <w:rPr>
        <w:rFonts w:ascii="SimSun" w:hAnsi="SimSun" w:eastAsia="SimSun" w:cs="SimSun"/>
        <w:sz w:val="31"/>
        <w:szCs w:val="31"/>
        <w:color w:val="005192"/>
        <w:position w:val="-9"/>
      </w:rPr>
      <w:drawing>
        <wp:inline distT="0" distB="0" distL="0" distR="0">
          <wp:extent cx="258699" cy="271018"/>
          <wp:effectExtent l="0" t="0" r="0" b="0"/>
          <wp:docPr id="2" name="IM 2"/>
          <wp:cNvGraphicFramePr/>
          <a:graphic>
            <a:graphicData uri="http://schemas.openxmlformats.org/drawingml/2006/picture">
              <pic:pic>
                <pic:nvPicPr>
                  <pic:cNvPr id="2" name="IM 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258699" cy="27101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SimSun" w:hAnsi="SimSun" w:eastAsia="SimSun" w:cs="SimSun"/>
        <w:sz w:val="31"/>
        <w:szCs w:val="31"/>
        <w:b/>
        <w:bCs/>
        <w:color w:val="005192"/>
        <w:spacing w:val="12"/>
      </w:rPr>
      <w:t>上海市人民政府规章</w:t>
    </w:r>
  </w:p>
  <w:p>
    <w:pPr>
      <w:spacing w:before="185" w:line="25" w:lineRule="exact"/>
      <w:rPr/>
    </w:pPr>
    <w:r>
      <w:rPr>
        <w:position w:val="-1"/>
      </w:rPr>
      <w:pict>
        <v:shape id="_x0000_s2" style="mso-position-vertical-relative:line;mso-position-horizontal-relative:char;width:442.55pt;height:1.75pt;" filled="false" strokecolor="#005192" strokeweight="1.75pt" coordsize="8850,35" coordorigin="0,0" path="m0,17l8850,17e">
          <v:stroke joinstyle="miter" miterlimit="10"/>
        </v:shape>
      </w:pic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3"/>
      <w:spacing w:before="32"/>
      <w:rPr>
        <w:rFonts w:ascii="SimSun" w:hAnsi="SimSun" w:eastAsia="SimSun" w:cs="SimSun"/>
        <w:sz w:val="31"/>
        <w:szCs w:val="31"/>
      </w:rPr>
    </w:pPr>
    <w:r>
      <w:rPr>
        <w:rFonts w:ascii="SimSun" w:hAnsi="SimSun" w:eastAsia="SimSun" w:cs="SimSun"/>
        <w:sz w:val="31"/>
        <w:szCs w:val="31"/>
        <w:color w:val="005192"/>
        <w:position w:val="-9"/>
      </w:rPr>
      <w:drawing>
        <wp:inline distT="0" distB="0" distL="0" distR="0">
          <wp:extent cx="258699" cy="271018"/>
          <wp:effectExtent l="0" t="0" r="0" b="0"/>
          <wp:docPr id="4" name="IM 4"/>
          <wp:cNvGraphicFramePr/>
          <a:graphic>
            <a:graphicData uri="http://schemas.openxmlformats.org/drawingml/2006/picture">
              <pic:pic>
                <pic:nvPicPr>
                  <pic:cNvPr id="4" name="IM 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258699" cy="27101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SimSun" w:hAnsi="SimSun" w:eastAsia="SimSun" w:cs="SimSun"/>
        <w:sz w:val="31"/>
        <w:szCs w:val="31"/>
        <w:b/>
        <w:bCs/>
        <w:color w:val="005192"/>
        <w:spacing w:val="12"/>
      </w:rPr>
      <w:t>上海市人民政府规章</w:t>
    </w:r>
  </w:p>
  <w:p>
    <w:pPr>
      <w:spacing w:before="185" w:line="25" w:lineRule="exact"/>
      <w:rPr/>
    </w:pPr>
    <w:r>
      <w:rPr>
        <w:position w:val="-1"/>
      </w:rPr>
      <w:pict>
        <v:shape id="_x0000_s6" style="mso-position-vertical-relative:line;mso-position-horizontal-relative:char;width:442.55pt;height:1.75pt;" filled="false" strokecolor="#005192" strokeweight="1.75pt" coordsize="8850,35" coordorigin="0,0" path="m0,17l8850,17e">
          <v:stroke joinstyle="miter" miterlimit="10"/>
        </v:shape>
      </w:pict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3"/>
      <w:spacing w:before="32"/>
      <w:rPr>
        <w:rFonts w:ascii="SimSun" w:hAnsi="SimSun" w:eastAsia="SimSun" w:cs="SimSun"/>
        <w:sz w:val="31"/>
        <w:szCs w:val="31"/>
      </w:rPr>
    </w:pPr>
    <w:r>
      <w:rPr>
        <w:rFonts w:ascii="SimSun" w:hAnsi="SimSun" w:eastAsia="SimSun" w:cs="SimSun"/>
        <w:sz w:val="31"/>
        <w:szCs w:val="31"/>
        <w:color w:val="005192"/>
        <w:position w:val="-9"/>
      </w:rPr>
      <w:drawing>
        <wp:inline distT="0" distB="0" distL="0" distR="0">
          <wp:extent cx="258699" cy="271018"/>
          <wp:effectExtent l="0" t="0" r="0" b="0"/>
          <wp:docPr id="8" name="IM 8"/>
          <wp:cNvGraphicFramePr/>
          <a:graphic>
            <a:graphicData uri="http://schemas.openxmlformats.org/drawingml/2006/picture">
              <pic:pic>
                <pic:nvPicPr>
                  <pic:cNvPr id="8" name="IM 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258699" cy="27101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SimSun" w:hAnsi="SimSun" w:eastAsia="SimSun" w:cs="SimSun"/>
        <w:sz w:val="31"/>
        <w:szCs w:val="31"/>
        <w:b/>
        <w:bCs/>
        <w:color w:val="005192"/>
        <w:spacing w:val="12"/>
      </w:rPr>
      <w:t>上海市人民政府规章</w:t>
    </w:r>
  </w:p>
  <w:p>
    <w:pPr>
      <w:spacing w:before="185" w:line="25" w:lineRule="exact"/>
      <w:rPr/>
    </w:pPr>
    <w:r>
      <w:rPr>
        <w:position w:val="-1"/>
      </w:rPr>
      <w:pict>
        <v:shape id="_x0000_s12" style="mso-position-vertical-relative:line;mso-position-horizontal-relative:char;width:442.55pt;height:1.75pt;" filled="false" strokecolor="#005192" strokeweight="1.75pt" coordsize="8850,35" coordorigin="0,0" path="m0,17l8850,17e">
          <v:stroke joinstyle="miter" miterlimit="10"/>
        </v:shape>
      </w:pict>
    </w:r>
  </w:p>
</w:hdr>
</file>

<file path=word/header4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3"/>
      <w:spacing w:before="32"/>
      <w:rPr>
        <w:rFonts w:ascii="SimSun" w:hAnsi="SimSun" w:eastAsia="SimSun" w:cs="SimSun"/>
        <w:sz w:val="31"/>
        <w:szCs w:val="31"/>
      </w:rPr>
    </w:pPr>
    <w:r>
      <w:rPr>
        <w:rFonts w:ascii="SimSun" w:hAnsi="SimSun" w:eastAsia="SimSun" w:cs="SimSun"/>
        <w:sz w:val="31"/>
        <w:szCs w:val="31"/>
        <w:color w:val="005192"/>
        <w:position w:val="-9"/>
      </w:rPr>
      <w:drawing>
        <wp:inline distT="0" distB="0" distL="0" distR="0">
          <wp:extent cx="258699" cy="271018"/>
          <wp:effectExtent l="0" t="0" r="0" b="0"/>
          <wp:docPr id="10" name="IM 10"/>
          <wp:cNvGraphicFramePr/>
          <a:graphic>
            <a:graphicData uri="http://schemas.openxmlformats.org/drawingml/2006/picture">
              <pic:pic>
                <pic:nvPicPr>
                  <pic:cNvPr id="10" name="IM 1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258699" cy="27101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SimSun" w:hAnsi="SimSun" w:eastAsia="SimSun" w:cs="SimSun"/>
        <w:sz w:val="31"/>
        <w:szCs w:val="31"/>
        <w:b/>
        <w:bCs/>
        <w:color w:val="005192"/>
        <w:spacing w:val="12"/>
      </w:rPr>
      <w:t>上海市人民政府规章</w:t>
    </w:r>
  </w:p>
  <w:p>
    <w:pPr>
      <w:spacing w:before="185" w:line="25" w:lineRule="exact"/>
      <w:rPr/>
    </w:pPr>
    <w:r>
      <w:rPr>
        <w:position w:val="-1"/>
      </w:rPr>
      <w:pict>
        <v:shape id="_x0000_s16" style="mso-position-vertical-relative:line;mso-position-horizontal-relative:char;width:442.55pt;height:1.75pt;" filled="false" strokecolor="#005192" strokeweight="1.75pt" coordsize="8850,35" coordorigin="0,0" path="m0,17l8850,17e">
          <v:stroke joinstyle="miter" miterlimit="10"/>
        </v:shape>
      </w:pict>
    </w:r>
  </w:p>
</w:hdr>
</file>

<file path=word/header5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3"/>
      <w:spacing w:before="32"/>
      <w:rPr>
        <w:rFonts w:ascii="SimSun" w:hAnsi="SimSun" w:eastAsia="SimSun" w:cs="SimSun"/>
        <w:sz w:val="31"/>
        <w:szCs w:val="31"/>
      </w:rPr>
    </w:pPr>
    <w:r>
      <w:rPr>
        <w:rFonts w:ascii="SimSun" w:hAnsi="SimSun" w:eastAsia="SimSun" w:cs="SimSun"/>
        <w:sz w:val="31"/>
        <w:szCs w:val="31"/>
        <w:color w:val="005192"/>
        <w:position w:val="-9"/>
      </w:rPr>
      <w:drawing>
        <wp:inline distT="0" distB="0" distL="0" distR="0">
          <wp:extent cx="258699" cy="271018"/>
          <wp:effectExtent l="0" t="0" r="0" b="0"/>
          <wp:docPr id="18" name="IM 18"/>
          <wp:cNvGraphicFramePr/>
          <a:graphic>
            <a:graphicData uri="http://schemas.openxmlformats.org/drawingml/2006/picture">
              <pic:pic>
                <pic:nvPicPr>
                  <pic:cNvPr id="18" name="IM 1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258699" cy="27101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SimSun" w:hAnsi="SimSun" w:eastAsia="SimSun" w:cs="SimSun"/>
        <w:sz w:val="31"/>
        <w:szCs w:val="31"/>
        <w:b/>
        <w:bCs/>
        <w:color w:val="005192"/>
        <w:spacing w:val="12"/>
      </w:rPr>
      <w:t>上海市人民政府规章</w:t>
    </w:r>
  </w:p>
  <w:p>
    <w:pPr>
      <w:spacing w:before="185" w:line="25" w:lineRule="exact"/>
      <w:rPr/>
    </w:pPr>
    <w:r>
      <w:rPr>
        <w:position w:val="-1"/>
      </w:rPr>
      <w:pict>
        <v:shape id="_x0000_s26" style="mso-position-vertical-relative:line;mso-position-horizontal-relative:char;width:442.55pt;height:1.75pt;" filled="false" strokecolor="#005192" strokeweight="1.75pt" coordsize="8850,35" coordorigin="0,0" path="m0,17l8850,17e">
          <v:stroke joinstyle="miter" miterlimit="10"/>
        </v:shape>
      </w:pict>
    </w:r>
  </w:p>
</w:hdr>
</file>

<file path=word/header6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3"/>
      <w:spacing w:before="32"/>
      <w:rPr>
        <w:rFonts w:ascii="SimSun" w:hAnsi="SimSun" w:eastAsia="SimSun" w:cs="SimSun"/>
        <w:sz w:val="31"/>
        <w:szCs w:val="31"/>
      </w:rPr>
    </w:pPr>
    <w:r>
      <w:rPr>
        <w:rFonts w:ascii="SimSun" w:hAnsi="SimSun" w:eastAsia="SimSun" w:cs="SimSun"/>
        <w:sz w:val="31"/>
        <w:szCs w:val="31"/>
        <w:color w:val="005192"/>
        <w:position w:val="-9"/>
      </w:rPr>
      <w:drawing>
        <wp:inline distT="0" distB="0" distL="0" distR="0">
          <wp:extent cx="258699" cy="271018"/>
          <wp:effectExtent l="0" t="0" r="0" b="0"/>
          <wp:docPr id="20" name="IM 20"/>
          <wp:cNvGraphicFramePr/>
          <a:graphic>
            <a:graphicData uri="http://schemas.openxmlformats.org/drawingml/2006/picture">
              <pic:pic>
                <pic:nvPicPr>
                  <pic:cNvPr id="20" name="IM 2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258699" cy="27101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SimSun" w:hAnsi="SimSun" w:eastAsia="SimSun" w:cs="SimSun"/>
        <w:sz w:val="31"/>
        <w:szCs w:val="31"/>
        <w:b/>
        <w:bCs/>
        <w:color w:val="005192"/>
        <w:spacing w:val="12"/>
      </w:rPr>
      <w:t>上海市人民政府规章</w:t>
    </w:r>
  </w:p>
  <w:p>
    <w:pPr>
      <w:spacing w:before="185" w:line="25" w:lineRule="exact"/>
      <w:rPr/>
    </w:pPr>
    <w:r>
      <w:rPr>
        <w:position w:val="-1"/>
      </w:rPr>
      <w:pict>
        <v:shape id="_x0000_s30" style="mso-position-vertical-relative:line;mso-position-horizontal-relative:char;width:442.55pt;height:1.75pt;" filled="false" strokecolor="#005192" strokeweight="1.75pt" coordsize="8850,35" coordorigin="0,0" path="m0,17l8850,17e">
          <v:stroke joinstyle="miter" miterlimit="10"/>
        </v:shape>
      </w:pict>
    </w:r>
  </w:p>
</w:hd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KaiTi" w:hAnsi="KaiTi" w:eastAsia="KaiTi" w:cs="KaiTi"/>
      <w:sz w:val="31"/>
      <w:szCs w:val="3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5.xml"/><Relationship Id="rId8" Type="http://schemas.openxmlformats.org/officeDocument/2006/relationships/footer" Target="footer4.xml"/><Relationship Id="rId7" Type="http://schemas.openxmlformats.org/officeDocument/2006/relationships/header" Target="header4.xml"/><Relationship Id="rId6" Type="http://schemas.openxmlformats.org/officeDocument/2006/relationships/footer" Target="footer3.xml"/><Relationship Id="rId5" Type="http://schemas.openxmlformats.org/officeDocument/2006/relationships/header" Target="header3.xml"/><Relationship Id="rId4" Type="http://schemas.openxmlformats.org/officeDocument/2006/relationships/footer" Target="footer2.xml"/><Relationship Id="rId3" Type="http://schemas.openxmlformats.org/officeDocument/2006/relationships/header" Target="header2.xml"/><Relationship Id="rId2" Type="http://schemas.openxmlformats.org/officeDocument/2006/relationships/footer" Target="footer1.xml"/><Relationship Id="rId15" Type="http://schemas.openxmlformats.org/officeDocument/2006/relationships/fontTable" Target="fontTable.xml"/><Relationship Id="rId14" Type="http://schemas.openxmlformats.org/officeDocument/2006/relationships/styles" Target="styles.xml"/><Relationship Id="rId13" Type="http://schemas.openxmlformats.org/officeDocument/2006/relationships/settings" Target="settings.xml"/><Relationship Id="rId12" Type="http://schemas.openxmlformats.org/officeDocument/2006/relationships/footer" Target="footer6.xml"/><Relationship Id="rId11" Type="http://schemas.openxmlformats.org/officeDocument/2006/relationships/header" Target="header6.xml"/><Relationship Id="rId10" Type="http://schemas.openxmlformats.org/officeDocument/2006/relationships/footer" Target="footer5.xml"/><Relationship Id="rId1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Microsoft® Word 2016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</dc:creator>
  <dcterms:created xsi:type="dcterms:W3CDTF">2025-11-11T13:59:06Z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2026-04-01T09:41:07</vt:filetime>
  </property>
</Properties>
</file>